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B06AC" w14:textId="77777777" w:rsidR="00F1039E" w:rsidRPr="00DC16F4" w:rsidRDefault="006F18C6">
      <w:pPr>
        <w:rPr>
          <w:b/>
        </w:rPr>
      </w:pPr>
      <w:r w:rsidRPr="00DC16F4">
        <w:rPr>
          <w:b/>
        </w:rPr>
        <w:t>Avtalslagen</w:t>
      </w:r>
    </w:p>
    <w:p w14:paraId="124BAA23" w14:textId="459C37B0" w:rsidR="006F18C6" w:rsidRPr="00DC16F4" w:rsidRDefault="00D511D0" w:rsidP="006F18C6">
      <w:pPr>
        <w:pStyle w:val="Liststycke"/>
        <w:numPr>
          <w:ilvl w:val="0"/>
          <w:numId w:val="2"/>
        </w:numPr>
        <w:rPr>
          <w:rFonts w:cs="Arial"/>
          <w:i/>
        </w:rPr>
      </w:pPr>
      <w:r>
        <w:rPr>
          <w:rFonts w:cs="Arial"/>
          <w:b/>
          <w:bCs/>
          <w:i/>
        </w:rPr>
        <w:t>1</w:t>
      </w:r>
      <w:r w:rsidR="006F18C6" w:rsidRPr="00DC16F4">
        <w:rPr>
          <w:rFonts w:cs="Arial"/>
          <w:b/>
          <w:bCs/>
          <w:i/>
        </w:rPr>
        <w:t>§ 1st</w:t>
      </w:r>
      <w:r w:rsidR="006F18C6" w:rsidRPr="00DC16F4">
        <w:rPr>
          <w:rFonts w:cs="Arial"/>
          <w:i/>
        </w:rPr>
        <w:t xml:space="preserve"> Anbud om slutande av avtal och svar å sådant anbud vare, efter ty här nedan i </w:t>
      </w:r>
      <w:hyperlink r:id="rId6" w:anchor="P2" w:history="1">
        <w:r w:rsidR="006F18C6" w:rsidRPr="00DC16F4">
          <w:rPr>
            <w:rFonts w:cs="Arial"/>
            <w:i/>
          </w:rPr>
          <w:t>2</w:t>
        </w:r>
      </w:hyperlink>
      <w:r w:rsidR="006F18C6" w:rsidRPr="00DC16F4">
        <w:rPr>
          <w:rFonts w:cs="Arial"/>
          <w:i/>
        </w:rPr>
        <w:t>-</w:t>
      </w:r>
      <w:hyperlink r:id="rId7" w:anchor="P9" w:history="1">
        <w:r w:rsidR="006F18C6" w:rsidRPr="00DC16F4">
          <w:rPr>
            <w:rFonts w:cs="Arial"/>
            <w:i/>
          </w:rPr>
          <w:t xml:space="preserve">9 </w:t>
        </w:r>
        <w:proofErr w:type="gramStart"/>
        <w:r w:rsidR="006F18C6" w:rsidRPr="00DC16F4">
          <w:rPr>
            <w:rFonts w:cs="Arial"/>
            <w:i/>
          </w:rPr>
          <w:t>§§</w:t>
        </w:r>
        <w:proofErr w:type="gramEnd"/>
      </w:hyperlink>
      <w:r w:rsidR="006F18C6" w:rsidRPr="00DC16F4">
        <w:rPr>
          <w:rFonts w:cs="Arial"/>
          <w:i/>
        </w:rPr>
        <w:t xml:space="preserve"> sägs, bindande för den, som avgivit anbudet eller svaret</w:t>
      </w:r>
    </w:p>
    <w:p w14:paraId="7BCAB649" w14:textId="77777777" w:rsidR="006F18C6" w:rsidRPr="00DC16F4" w:rsidRDefault="006F18C6" w:rsidP="006F18C6">
      <w:pPr>
        <w:pStyle w:val="Liststycke"/>
        <w:numPr>
          <w:ilvl w:val="0"/>
          <w:numId w:val="2"/>
        </w:numPr>
        <w:rPr>
          <w:i/>
        </w:rPr>
      </w:pPr>
      <w:r w:rsidRPr="00DC16F4">
        <w:rPr>
          <w:i/>
        </w:rPr>
        <w:t xml:space="preserve">32§ 1st – förklaringsmisstag </w:t>
      </w:r>
    </w:p>
    <w:p w14:paraId="2AC009DA" w14:textId="77777777" w:rsidR="006F18C6" w:rsidRPr="00DC16F4" w:rsidRDefault="006F18C6" w:rsidP="006F18C6">
      <w:pPr>
        <w:pStyle w:val="Liststycke"/>
        <w:numPr>
          <w:ilvl w:val="0"/>
          <w:numId w:val="2"/>
        </w:numPr>
      </w:pPr>
      <w:r w:rsidRPr="00DC16F4">
        <w:rPr>
          <w:i/>
        </w:rPr>
        <w:t>39§ hjälper oss att bedöma om Ted insåg eller borde ha insett</w:t>
      </w:r>
    </w:p>
    <w:p w14:paraId="2446C970" w14:textId="77777777" w:rsidR="006F18C6" w:rsidRPr="00DC16F4" w:rsidRDefault="006F18C6" w:rsidP="006F18C6"/>
    <w:p w14:paraId="4AAA8DFA" w14:textId="77777777" w:rsidR="006F18C6" w:rsidRPr="00DC16F4" w:rsidRDefault="006F18C6" w:rsidP="006F18C6">
      <w:pPr>
        <w:rPr>
          <w:b/>
        </w:rPr>
      </w:pPr>
      <w:proofErr w:type="spellStart"/>
      <w:r w:rsidRPr="00DC16F4">
        <w:rPr>
          <w:b/>
        </w:rPr>
        <w:t>Föräldrarbalken</w:t>
      </w:r>
      <w:proofErr w:type="spellEnd"/>
    </w:p>
    <w:p w14:paraId="24372D72" w14:textId="77777777" w:rsidR="00114F86" w:rsidRDefault="006F18C6" w:rsidP="00114F86">
      <w:pPr>
        <w:pStyle w:val="Liststycke"/>
        <w:numPr>
          <w:ilvl w:val="0"/>
          <w:numId w:val="3"/>
        </w:numPr>
      </w:pPr>
      <w:r w:rsidRPr="00DC16F4">
        <w:t>Utgångspunkten är att en omyndig person inte själv har någon rättshandlingsförmåga, 9:1 föräldrabalken, (FB).</w:t>
      </w:r>
      <w:r w:rsidR="00114F86" w:rsidRPr="00114F86">
        <w:t xml:space="preserve"> </w:t>
      </w:r>
    </w:p>
    <w:p w14:paraId="0C1583D2" w14:textId="61D715CB" w:rsidR="006F18C6" w:rsidRPr="00DC16F4" w:rsidRDefault="00114F86" w:rsidP="00114F86">
      <w:pPr>
        <w:pStyle w:val="Liststycke"/>
        <w:numPr>
          <w:ilvl w:val="0"/>
          <w:numId w:val="3"/>
        </w:numPr>
      </w:pPr>
      <w:r w:rsidRPr="00DC16F4">
        <w:t>En omyndig person får själv förfoga över det hen förvärvat genom eget arbete efter 16 års ålder, 9:3 FB</w:t>
      </w:r>
    </w:p>
    <w:p w14:paraId="306EB428" w14:textId="07C0619C" w:rsidR="006F18C6" w:rsidRPr="00DC16F4" w:rsidRDefault="006F18C6" w:rsidP="006F18C6">
      <w:pPr>
        <w:pStyle w:val="Liststycke"/>
        <w:numPr>
          <w:ilvl w:val="0"/>
          <w:numId w:val="3"/>
        </w:numPr>
      </w:pPr>
      <w:r w:rsidRPr="00DC16F4">
        <w:t xml:space="preserve">Företrädare för en omyndig är ofta dennes föräldrar, 10:2 </w:t>
      </w:r>
      <w:r w:rsidR="00114F86" w:rsidRPr="00DC16F4">
        <w:t xml:space="preserve">och </w:t>
      </w:r>
      <w:r w:rsidRPr="00DC16F4">
        <w:t>FB</w:t>
      </w:r>
      <w:r w:rsidR="00114F86" w:rsidRPr="00DC16F4">
        <w:t>12:1</w:t>
      </w:r>
    </w:p>
    <w:p w14:paraId="472F8416" w14:textId="77777777" w:rsidR="006F18C6" w:rsidRPr="00DC16F4" w:rsidRDefault="006F18C6" w:rsidP="006F18C6"/>
    <w:p w14:paraId="04EB11E5" w14:textId="77777777" w:rsidR="006F18C6" w:rsidRPr="00DC16F4" w:rsidRDefault="006F18C6" w:rsidP="006F18C6">
      <w:pPr>
        <w:rPr>
          <w:b/>
        </w:rPr>
      </w:pPr>
      <w:r w:rsidRPr="00DC16F4">
        <w:rPr>
          <w:b/>
        </w:rPr>
        <w:t>Fullmakter</w:t>
      </w:r>
    </w:p>
    <w:p w14:paraId="491A1FC2" w14:textId="77777777" w:rsidR="006F18C6" w:rsidRPr="00DC16F4" w:rsidRDefault="006F18C6" w:rsidP="006F18C6">
      <w:pPr>
        <w:ind w:left="360"/>
      </w:pPr>
      <w:r w:rsidRPr="00DC16F4">
        <w:t xml:space="preserve">Uppdragsfullmakt </w:t>
      </w:r>
      <w:r w:rsidRPr="00DC16F4">
        <w:sym w:font="Wingdings" w:char="F0E0"/>
      </w:r>
      <w:r w:rsidRPr="00DC16F4">
        <w:t xml:space="preserve"> 18§ </w:t>
      </w:r>
      <w:r w:rsidRPr="00DC16F4">
        <w:sym w:font="Wingdings" w:char="F0E0"/>
      </w:r>
      <w:r w:rsidRPr="00DC16F4">
        <w:t>osjälvständig fullmakt</w:t>
      </w:r>
    </w:p>
    <w:p w14:paraId="716095AE" w14:textId="77777777" w:rsidR="00114F86" w:rsidRPr="00DC16F4" w:rsidRDefault="00114F86" w:rsidP="00114F86">
      <w:pPr>
        <w:pStyle w:val="Liststycke"/>
        <w:numPr>
          <w:ilvl w:val="0"/>
          <w:numId w:val="4"/>
        </w:numPr>
        <w:rPr>
          <w:rFonts w:cs="Arial"/>
          <w:i/>
        </w:rPr>
      </w:pPr>
      <w:r w:rsidRPr="00DC16F4">
        <w:rPr>
          <w:rFonts w:cs="Arial"/>
          <w:b/>
          <w:bCs/>
          <w:i/>
        </w:rPr>
        <w:t>10 §</w:t>
      </w:r>
      <w:r w:rsidRPr="00DC16F4">
        <w:rPr>
          <w:rFonts w:cs="Arial"/>
          <w:i/>
        </w:rPr>
        <w:t xml:space="preserve"> Den, som åt annan </w:t>
      </w:r>
      <w:proofErr w:type="gramStart"/>
      <w:r w:rsidRPr="00DC16F4">
        <w:rPr>
          <w:rFonts w:cs="Arial"/>
          <w:i/>
        </w:rPr>
        <w:t>givit</w:t>
      </w:r>
      <w:proofErr w:type="gramEnd"/>
      <w:r w:rsidRPr="00DC16F4">
        <w:rPr>
          <w:rFonts w:cs="Arial"/>
          <w:i/>
        </w:rPr>
        <w:t xml:space="preserve"> fullmakt att sluta avtal eller eljest företaga rättshandlingar, varder omedelbart berättigad och förpliktad i förhållande till tredje man genom rättshandling, som fullmäktigen inom fullmaktens gränser företager i fullmaktsgivarens namn</w:t>
      </w:r>
    </w:p>
    <w:p w14:paraId="0A413DB5" w14:textId="215B1A57" w:rsidR="006F18C6" w:rsidRPr="00DC16F4" w:rsidRDefault="006F18C6" w:rsidP="006F18C6">
      <w:pPr>
        <w:pStyle w:val="Liststycke"/>
        <w:numPr>
          <w:ilvl w:val="0"/>
          <w:numId w:val="4"/>
        </w:numPr>
      </w:pPr>
      <w:r w:rsidRPr="00114F86">
        <w:rPr>
          <w:b/>
        </w:rPr>
        <w:t>11 §</w:t>
      </w:r>
      <w:r w:rsidRPr="00DC16F4">
        <w:t xml:space="preserve"> 2 </w:t>
      </w:r>
      <w:proofErr w:type="spellStart"/>
      <w:r w:rsidRPr="00DC16F4">
        <w:t>st</w:t>
      </w:r>
      <w:proofErr w:type="spellEnd"/>
      <w:r w:rsidRPr="00DC16F4">
        <w:t xml:space="preserve"> R är</w:t>
      </w:r>
      <w:r w:rsidR="00114F86">
        <w:t xml:space="preserve"> </w:t>
      </w:r>
      <w:proofErr w:type="gramStart"/>
      <w:r w:rsidRPr="00DC16F4">
        <w:t>ej</w:t>
      </w:r>
      <w:proofErr w:type="gramEnd"/>
      <w:r w:rsidRPr="00DC16F4">
        <w:t xml:space="preserve"> bunden oavsett om Jana är i god tro eller ond tro</w:t>
      </w:r>
    </w:p>
    <w:p w14:paraId="1A2FEB7B" w14:textId="77777777" w:rsidR="006F18C6" w:rsidRPr="00DC16F4" w:rsidRDefault="006F18C6" w:rsidP="006F18C6">
      <w:pPr>
        <w:pStyle w:val="Liststycke"/>
        <w:numPr>
          <w:ilvl w:val="0"/>
          <w:numId w:val="4"/>
        </w:numPr>
        <w:rPr>
          <w:rFonts w:cs="Arial"/>
          <w:i/>
        </w:rPr>
      </w:pPr>
      <w:r w:rsidRPr="00DC16F4">
        <w:rPr>
          <w:rFonts w:cs="Arial"/>
          <w:b/>
          <w:bCs/>
          <w:i/>
        </w:rPr>
        <w:t>11 §</w:t>
      </w:r>
      <w:r w:rsidRPr="00DC16F4">
        <w:rPr>
          <w:rFonts w:cs="Arial"/>
          <w:i/>
        </w:rPr>
        <w:t xml:space="preserve"> Har fullmäktigen vid företagande av rättshandling handlat i strid mot särskilda inskränkande föreskrifter av fullmaktsgivaren, vare rättshandlingen </w:t>
      </w:r>
      <w:proofErr w:type="gramStart"/>
      <w:r w:rsidRPr="00DC16F4">
        <w:rPr>
          <w:rFonts w:cs="Arial"/>
          <w:i/>
        </w:rPr>
        <w:t>ej</w:t>
      </w:r>
      <w:proofErr w:type="gramEnd"/>
      <w:r w:rsidRPr="00DC16F4">
        <w:rPr>
          <w:rFonts w:cs="Arial"/>
          <w:i/>
        </w:rPr>
        <w:t xml:space="preserve"> gällande mot denne, såframt tredje man insåg eller bort inse, att fullmäktigen sålunda överskred sin befogenhet.</w:t>
      </w:r>
    </w:p>
    <w:p w14:paraId="3B69971D" w14:textId="77777777" w:rsidR="006F18C6" w:rsidRPr="00DC16F4" w:rsidRDefault="006F18C6" w:rsidP="006F18C6">
      <w:pPr>
        <w:pStyle w:val="Liststycke"/>
        <w:widowControl w:val="0"/>
        <w:numPr>
          <w:ilvl w:val="0"/>
          <w:numId w:val="4"/>
        </w:numPr>
        <w:autoSpaceDE w:val="0"/>
        <w:autoSpaceDN w:val="0"/>
        <w:adjustRightInd w:val="0"/>
        <w:rPr>
          <w:rFonts w:cs="Arial"/>
          <w:i/>
        </w:rPr>
      </w:pPr>
      <w:r w:rsidRPr="00DC16F4">
        <w:rPr>
          <w:rFonts w:cs="Arial"/>
          <w:b/>
          <w:bCs/>
          <w:i/>
        </w:rPr>
        <w:t>12 §</w:t>
      </w:r>
      <w:r w:rsidRPr="00DC16F4">
        <w:rPr>
          <w:rFonts w:cs="Arial"/>
          <w:i/>
        </w:rPr>
        <w:t xml:space="preserve"> Vill fullmaktsgivaren återkalla fullmakt, som avses i </w:t>
      </w:r>
      <w:hyperlink r:id="rId8" w:anchor="P13" w:history="1">
        <w:r w:rsidRPr="00DC16F4">
          <w:rPr>
            <w:rFonts w:cs="Arial"/>
            <w:i/>
          </w:rPr>
          <w:t>13</w:t>
        </w:r>
      </w:hyperlink>
      <w:r w:rsidRPr="00DC16F4">
        <w:rPr>
          <w:rFonts w:cs="Arial"/>
          <w:i/>
        </w:rPr>
        <w:t>-</w:t>
      </w:r>
      <w:hyperlink r:id="rId9" w:anchor="P16" w:history="1">
        <w:r w:rsidRPr="00DC16F4">
          <w:rPr>
            <w:rFonts w:cs="Arial"/>
            <w:i/>
          </w:rPr>
          <w:t xml:space="preserve">16 </w:t>
        </w:r>
        <w:proofErr w:type="gramStart"/>
        <w:r w:rsidRPr="00DC16F4">
          <w:rPr>
            <w:rFonts w:cs="Arial"/>
            <w:i/>
          </w:rPr>
          <w:t>§§</w:t>
        </w:r>
        <w:proofErr w:type="gramEnd"/>
      </w:hyperlink>
      <w:r w:rsidRPr="00DC16F4">
        <w:rPr>
          <w:rFonts w:cs="Arial"/>
          <w:i/>
        </w:rPr>
        <w:t>, åligger det honom, även om han meddelat fullmäktigen, att han icke längre vill låta fullmakten gälla, att iakttaga vad i nämnda paragrafer för varje fall föreskrives; äro flera av dessa föreskrifter var för sig tillämpliga å samma fullmakt, skola de alla iakttagas.</w:t>
      </w:r>
    </w:p>
    <w:p w14:paraId="5CD70DAC" w14:textId="77777777" w:rsidR="006F18C6" w:rsidRPr="00114F86" w:rsidRDefault="006F18C6" w:rsidP="006F18C6">
      <w:pPr>
        <w:widowControl w:val="0"/>
        <w:autoSpaceDE w:val="0"/>
        <w:autoSpaceDN w:val="0"/>
        <w:adjustRightInd w:val="0"/>
        <w:ind w:firstLine="720"/>
        <w:rPr>
          <w:rFonts w:cs="Arial"/>
          <w:b/>
          <w:i/>
        </w:rPr>
      </w:pPr>
      <w:r w:rsidRPr="00114F86">
        <w:rPr>
          <w:rFonts w:cs="Arial"/>
          <w:b/>
          <w:i/>
        </w:rPr>
        <w:t xml:space="preserve">12§ 2 </w:t>
      </w:r>
      <w:proofErr w:type="spellStart"/>
      <w:r w:rsidRPr="00114F86">
        <w:rPr>
          <w:rFonts w:cs="Arial"/>
          <w:b/>
          <w:i/>
        </w:rPr>
        <w:t>st</w:t>
      </w:r>
      <w:proofErr w:type="spellEnd"/>
    </w:p>
    <w:p w14:paraId="41346D08" w14:textId="77777777" w:rsidR="006F18C6" w:rsidRPr="00DC16F4" w:rsidRDefault="006F18C6" w:rsidP="006F18C6">
      <w:pPr>
        <w:ind w:left="720"/>
        <w:rPr>
          <w:rFonts w:cs="Arial"/>
          <w:i/>
        </w:rPr>
      </w:pPr>
      <w:r w:rsidRPr="00DC16F4">
        <w:rPr>
          <w:rFonts w:cs="Arial"/>
          <w:i/>
        </w:rPr>
        <w:t xml:space="preserve">Tredje man, hos vilken en fullmakt återkallats på det i </w:t>
      </w:r>
      <w:hyperlink r:id="rId10" w:anchor="P13" w:history="1">
        <w:r w:rsidRPr="00DC16F4">
          <w:rPr>
            <w:rFonts w:cs="Arial"/>
            <w:i/>
          </w:rPr>
          <w:t>13</w:t>
        </w:r>
        <w:proofErr w:type="gramStart"/>
        <w:r w:rsidRPr="00DC16F4">
          <w:rPr>
            <w:rFonts w:cs="Arial"/>
            <w:i/>
          </w:rPr>
          <w:t xml:space="preserve"> §</w:t>
        </w:r>
      </w:hyperlink>
      <w:proofErr w:type="gramEnd"/>
      <w:r w:rsidRPr="00DC16F4">
        <w:rPr>
          <w:rFonts w:cs="Arial"/>
          <w:i/>
        </w:rPr>
        <w:t xml:space="preserve"> angivna sätt, </w:t>
      </w:r>
      <w:proofErr w:type="spellStart"/>
      <w:r w:rsidRPr="00DC16F4">
        <w:rPr>
          <w:rFonts w:cs="Arial"/>
          <w:i/>
        </w:rPr>
        <w:t>äge</w:t>
      </w:r>
      <w:proofErr w:type="spellEnd"/>
      <w:r w:rsidRPr="00DC16F4">
        <w:rPr>
          <w:rFonts w:cs="Arial"/>
          <w:i/>
        </w:rPr>
        <w:t xml:space="preserve"> dock icke åberopa, att återkallelse ej skett på annat sätt.</w:t>
      </w:r>
    </w:p>
    <w:p w14:paraId="134794D1" w14:textId="77777777" w:rsidR="003A6FFD" w:rsidRPr="00DC16F4" w:rsidRDefault="003A6FFD" w:rsidP="003A6FFD">
      <w:pPr>
        <w:rPr>
          <w:rFonts w:cs="Arial"/>
          <w:i/>
        </w:rPr>
      </w:pPr>
    </w:p>
    <w:p w14:paraId="3C24BF49" w14:textId="77777777" w:rsidR="003A6FFD" w:rsidRPr="00DC16F4" w:rsidRDefault="003A6FFD" w:rsidP="003A6FFD">
      <w:pPr>
        <w:rPr>
          <w:rFonts w:cs="Arial"/>
          <w:b/>
        </w:rPr>
      </w:pPr>
      <w:proofErr w:type="spellStart"/>
      <w:r w:rsidRPr="00DC16F4">
        <w:rPr>
          <w:rFonts w:cs="Arial"/>
          <w:b/>
        </w:rPr>
        <w:t>Kommissionslagen</w:t>
      </w:r>
      <w:proofErr w:type="spellEnd"/>
    </w:p>
    <w:p w14:paraId="68CB378C" w14:textId="6E6045B9" w:rsidR="003A6FFD" w:rsidRPr="00DC16F4" w:rsidRDefault="003A6FFD" w:rsidP="003A6FFD">
      <w:pPr>
        <w:pStyle w:val="Liststycke"/>
        <w:numPr>
          <w:ilvl w:val="0"/>
          <w:numId w:val="7"/>
        </w:numPr>
      </w:pPr>
      <w:r w:rsidRPr="00DC16F4">
        <w:rPr>
          <w:rFonts w:cs="Arial"/>
          <w:b/>
          <w:bCs/>
          <w:i/>
        </w:rPr>
        <w:t>5§</w:t>
      </w:r>
      <w:r w:rsidRPr="00DC16F4">
        <w:rPr>
          <w:rFonts w:cs="Arial"/>
          <w:i/>
        </w:rPr>
        <w:t xml:space="preserve"> </w:t>
      </w:r>
      <w:r w:rsidRPr="00DC16F4">
        <w:rPr>
          <w:rFonts w:cs="Arial"/>
          <w:b/>
          <w:i/>
        </w:rPr>
        <w:t>1st</w:t>
      </w:r>
      <w:r w:rsidRPr="00DC16F4">
        <w:rPr>
          <w:rFonts w:cs="Arial"/>
          <w:i/>
        </w:rPr>
        <w:t xml:space="preserve"> Om kommittenten har angett ett lägsta pris vid försäljning eller ett</w:t>
      </w:r>
      <w:r w:rsidR="00114F86">
        <w:rPr>
          <w:rFonts w:cs="Arial"/>
          <w:i/>
        </w:rPr>
        <w:t xml:space="preserve"> högsta pris vid </w:t>
      </w:r>
      <w:r w:rsidRPr="00DC16F4">
        <w:rPr>
          <w:rFonts w:cs="Arial"/>
          <w:i/>
        </w:rPr>
        <w:t xml:space="preserve">köp eller gett andra instruktioner för uppdraget och förhållandena är sådana </w:t>
      </w:r>
      <w:r w:rsidRPr="00DC16F4">
        <w:rPr>
          <w:rFonts w:cs="Arial"/>
          <w:i/>
        </w:rPr>
        <w:br/>
        <w:t xml:space="preserve">att instruktionerna inte kan eller bör följas, ska kommissionären när det framstår </w:t>
      </w:r>
      <w:r w:rsidRPr="00DC16F4">
        <w:rPr>
          <w:rFonts w:cs="Arial"/>
          <w:i/>
        </w:rPr>
        <w:br/>
        <w:t>som rimligt begära nya instruktioner.</w:t>
      </w:r>
    </w:p>
    <w:p w14:paraId="571EE281" w14:textId="77777777" w:rsidR="003A6FFD" w:rsidRPr="00DC16F4" w:rsidRDefault="003A6FFD" w:rsidP="003A6FFD">
      <w:pPr>
        <w:pStyle w:val="Liststycke"/>
        <w:numPr>
          <w:ilvl w:val="0"/>
          <w:numId w:val="7"/>
        </w:numPr>
      </w:pPr>
      <w:r w:rsidRPr="00DC16F4">
        <w:rPr>
          <w:rFonts w:cs="Arial"/>
          <w:b/>
          <w:i/>
        </w:rPr>
        <w:t>5§ 2st</w:t>
      </w:r>
      <w:r w:rsidRPr="00DC16F4">
        <w:rPr>
          <w:rFonts w:cs="Arial"/>
          <w:i/>
        </w:rPr>
        <w:t xml:space="preserve"> En kommissionär som i sådana fall som avses i </w:t>
      </w:r>
      <w:hyperlink r:id="rId11" w:anchor="P5S1" w:history="1">
        <w:r w:rsidRPr="00DC16F4">
          <w:rPr>
            <w:rFonts w:cs="Arial"/>
            <w:i/>
          </w:rPr>
          <w:t>första stycket</w:t>
        </w:r>
      </w:hyperlink>
      <w:r w:rsidRPr="00DC16F4">
        <w:rPr>
          <w:rFonts w:cs="Arial"/>
          <w:i/>
        </w:rPr>
        <w:t xml:space="preserve"> inte kan få nya instruktioner</w:t>
      </w:r>
      <w:r w:rsidRPr="00DC16F4">
        <w:rPr>
          <w:rFonts w:cs="Arial"/>
          <w:i/>
        </w:rPr>
        <w:br/>
        <w:t xml:space="preserve">i tid ska avbryta utförandet av uppdraget. Finns det särskilda skäl att anta att </w:t>
      </w:r>
      <w:r w:rsidRPr="00DC16F4">
        <w:rPr>
          <w:rFonts w:cs="Arial"/>
          <w:i/>
        </w:rPr>
        <w:br/>
        <w:t xml:space="preserve">kommittenten ändå skulle vilja att uppdraget utförs, ska kommissionären dock </w:t>
      </w:r>
      <w:r w:rsidRPr="00DC16F4">
        <w:rPr>
          <w:rFonts w:cs="Arial"/>
          <w:i/>
        </w:rPr>
        <w:br/>
        <w:t>utföra det på ett sätt som är lämpligt.”</w:t>
      </w:r>
    </w:p>
    <w:p w14:paraId="56E4573D" w14:textId="77777777" w:rsidR="003A6FFD" w:rsidRPr="00DC16F4" w:rsidRDefault="003A6FFD" w:rsidP="003A6FFD">
      <w:pPr>
        <w:pStyle w:val="Liststycke"/>
        <w:widowControl w:val="0"/>
        <w:numPr>
          <w:ilvl w:val="0"/>
          <w:numId w:val="7"/>
        </w:numPr>
        <w:autoSpaceDE w:val="0"/>
        <w:autoSpaceDN w:val="0"/>
        <w:adjustRightInd w:val="0"/>
        <w:rPr>
          <w:rFonts w:cs="Arial"/>
        </w:rPr>
      </w:pPr>
      <w:r w:rsidRPr="00DC16F4">
        <w:rPr>
          <w:rFonts w:cs="Arial"/>
        </w:rPr>
        <w:t>Kommission: kommissionären agerar i eget namn (</w:t>
      </w:r>
      <w:proofErr w:type="spellStart"/>
      <w:r w:rsidRPr="00DC16F4">
        <w:rPr>
          <w:rFonts w:cs="Arial"/>
        </w:rPr>
        <w:t>Bytbil</w:t>
      </w:r>
      <w:proofErr w:type="spellEnd"/>
      <w:r w:rsidRPr="00DC16F4">
        <w:rPr>
          <w:rFonts w:cs="Arial"/>
        </w:rPr>
        <w:t xml:space="preserve"> AB)</w:t>
      </w:r>
    </w:p>
    <w:p w14:paraId="10F399FA" w14:textId="77777777" w:rsidR="003A6FFD" w:rsidRPr="00DC16F4" w:rsidRDefault="003A6FFD" w:rsidP="003A6FFD">
      <w:pPr>
        <w:pStyle w:val="Liststycke"/>
        <w:widowControl w:val="0"/>
        <w:autoSpaceDE w:val="0"/>
        <w:autoSpaceDN w:val="0"/>
        <w:adjustRightInd w:val="0"/>
        <w:rPr>
          <w:rFonts w:cs="Arial"/>
        </w:rPr>
      </w:pPr>
      <w:r w:rsidRPr="00114F86">
        <w:rPr>
          <w:rFonts w:cs="Arial"/>
          <w:b/>
        </w:rPr>
        <w:t>26§</w:t>
      </w:r>
      <w:r w:rsidRPr="00DC16F4">
        <w:rPr>
          <w:rFonts w:cs="Arial"/>
        </w:rPr>
        <w:t xml:space="preserve"> Jana får behålla bilen om hon är i god tro.</w:t>
      </w:r>
    </w:p>
    <w:p w14:paraId="6C66C4FD" w14:textId="77777777" w:rsidR="003A6FFD" w:rsidRPr="00DC16F4" w:rsidRDefault="003A6FFD" w:rsidP="003A6FFD">
      <w:pPr>
        <w:pStyle w:val="Liststycke"/>
        <w:widowControl w:val="0"/>
        <w:autoSpaceDE w:val="0"/>
        <w:autoSpaceDN w:val="0"/>
        <w:adjustRightInd w:val="0"/>
        <w:rPr>
          <w:rFonts w:cs="Arial"/>
        </w:rPr>
      </w:pPr>
    </w:p>
    <w:p w14:paraId="3DA00E74" w14:textId="77777777" w:rsidR="003A6FFD" w:rsidRPr="00DC16F4" w:rsidRDefault="003A6FFD" w:rsidP="003A6FFD">
      <w:pPr>
        <w:pStyle w:val="Liststycke"/>
        <w:widowControl w:val="0"/>
        <w:autoSpaceDE w:val="0"/>
        <w:autoSpaceDN w:val="0"/>
        <w:adjustRightInd w:val="0"/>
        <w:rPr>
          <w:rFonts w:cs="Arial"/>
        </w:rPr>
      </w:pPr>
    </w:p>
    <w:p w14:paraId="40574B63" w14:textId="77777777" w:rsidR="003A6FFD" w:rsidRPr="00DC16F4" w:rsidRDefault="003A6FFD" w:rsidP="003A6FFD">
      <w:pPr>
        <w:pStyle w:val="Liststycke"/>
        <w:widowControl w:val="0"/>
        <w:autoSpaceDE w:val="0"/>
        <w:autoSpaceDN w:val="0"/>
        <w:adjustRightInd w:val="0"/>
        <w:rPr>
          <w:rFonts w:cs="Arial"/>
        </w:rPr>
      </w:pPr>
    </w:p>
    <w:p w14:paraId="6FF3E73C" w14:textId="77777777" w:rsidR="003A6FFD" w:rsidRPr="00DC16F4" w:rsidRDefault="003A6FFD" w:rsidP="003A6FFD">
      <w:pPr>
        <w:pStyle w:val="Liststycke"/>
        <w:widowControl w:val="0"/>
        <w:autoSpaceDE w:val="0"/>
        <w:autoSpaceDN w:val="0"/>
        <w:adjustRightInd w:val="0"/>
        <w:rPr>
          <w:rFonts w:cs="Arial"/>
        </w:rPr>
      </w:pPr>
    </w:p>
    <w:p w14:paraId="03935BBD" w14:textId="01B550E7" w:rsidR="003A6FFD" w:rsidRPr="00D511D0" w:rsidRDefault="003A6FFD" w:rsidP="00D511D0">
      <w:pPr>
        <w:widowControl w:val="0"/>
        <w:autoSpaceDE w:val="0"/>
        <w:autoSpaceDN w:val="0"/>
        <w:adjustRightInd w:val="0"/>
        <w:rPr>
          <w:rFonts w:cs="Arial"/>
          <w:b/>
        </w:rPr>
      </w:pPr>
      <w:proofErr w:type="spellStart"/>
      <w:r w:rsidRPr="00D511D0">
        <w:rPr>
          <w:rFonts w:cs="Arial"/>
          <w:b/>
        </w:rPr>
        <w:lastRenderedPageBreak/>
        <w:t>Köprätt</w:t>
      </w:r>
      <w:proofErr w:type="spellEnd"/>
    </w:p>
    <w:p w14:paraId="47331117" w14:textId="77777777" w:rsidR="003A6FFD" w:rsidRPr="00DC16F4" w:rsidRDefault="003A6FFD" w:rsidP="003A6FF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DC16F4">
        <w:rPr>
          <w:rFonts w:ascii="Cambria" w:hAnsi="Cambria" w:cs="Cambria"/>
        </w:rPr>
        <w:t xml:space="preserve">Dispositiva tvistemål </w:t>
      </w:r>
      <w:r w:rsidRPr="00114F86">
        <w:rPr>
          <w:rFonts w:ascii="Cambria" w:hAnsi="Cambria" w:cs="Cambria"/>
          <w:b/>
        </w:rPr>
        <w:t>(17:3 RB)</w:t>
      </w:r>
    </w:p>
    <w:p w14:paraId="0D237860" w14:textId="77777777" w:rsidR="003A6FFD" w:rsidRPr="00DC16F4" w:rsidRDefault="003A6FFD" w:rsidP="003A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4CDA643" w14:textId="77777777" w:rsidR="003A6FFD" w:rsidRPr="00DC16F4" w:rsidRDefault="003A6FFD" w:rsidP="003A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roofErr w:type="spellStart"/>
      <w:r w:rsidRPr="00DC16F4">
        <w:rPr>
          <w:rFonts w:ascii="Cambria" w:hAnsi="Cambria" w:cs="Cambria"/>
          <w:b/>
        </w:rPr>
        <w:t>Köplagen</w:t>
      </w:r>
      <w:proofErr w:type="spellEnd"/>
    </w:p>
    <w:p w14:paraId="00701257" w14:textId="77777777" w:rsidR="003A6FFD" w:rsidRPr="00114F86" w:rsidRDefault="003A6FFD" w:rsidP="003A6FF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hyperlink r:id="rId12" w:anchor="0_19" w:history="1">
        <w:r w:rsidRPr="00114F86">
          <w:rPr>
            <w:rFonts w:ascii="Cambria" w:hAnsi="Cambria" w:cs="Cambria"/>
            <w:b/>
          </w:rPr>
          <w:t>19§</w:t>
        </w:r>
      </w:hyperlink>
      <w:r w:rsidRPr="00114F86">
        <w:rPr>
          <w:rFonts w:ascii="Cambria" w:hAnsi="Cambria" w:cs="Cambria"/>
          <w:b/>
        </w:rPr>
        <w:t xml:space="preserve"> </w:t>
      </w:r>
      <w:hyperlink r:id="rId13" w:history="1">
        <w:proofErr w:type="spellStart"/>
        <w:r w:rsidRPr="00114F86">
          <w:rPr>
            <w:rFonts w:ascii="Cambria" w:hAnsi="Cambria" w:cs="Cambria"/>
            <w:b/>
          </w:rPr>
          <w:t>KöpL</w:t>
        </w:r>
        <w:proofErr w:type="spellEnd"/>
      </w:hyperlink>
    </w:p>
    <w:p w14:paraId="667C3758" w14:textId="77777777" w:rsidR="003A6FFD" w:rsidRPr="00DC16F4" w:rsidRDefault="003A6FFD" w:rsidP="003A6FF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DC16F4">
        <w:rPr>
          <w:rFonts w:ascii="Cambria" w:hAnsi="Cambria" w:cs="Cambria"/>
        </w:rPr>
        <w:t xml:space="preserve">Rune hävdar att Bengts husbil varit i sämre skick än utlovat samt att den värderats till för högt pris, därmed med stöd av </w:t>
      </w:r>
      <w:r w:rsidRPr="00114F86">
        <w:rPr>
          <w:rFonts w:ascii="Cambria" w:hAnsi="Cambria" w:cs="Cambria"/>
          <w:b/>
        </w:rPr>
        <w:t xml:space="preserve">19§ 1st </w:t>
      </w:r>
      <w:proofErr w:type="spellStart"/>
      <w:r w:rsidRPr="00114F86">
        <w:rPr>
          <w:rFonts w:ascii="Cambria" w:hAnsi="Cambria" w:cs="Cambria"/>
          <w:b/>
        </w:rPr>
        <w:t>KöpL</w:t>
      </w:r>
      <w:proofErr w:type="spellEnd"/>
    </w:p>
    <w:p w14:paraId="46641D76" w14:textId="77777777" w:rsidR="003A6FFD" w:rsidRPr="00DC16F4" w:rsidRDefault="003A6FFD" w:rsidP="003A6FF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DC16F4">
        <w:rPr>
          <w:rFonts w:ascii="Cambria" w:hAnsi="Cambria" w:cs="Cambria"/>
        </w:rPr>
        <w:t xml:space="preserve"> ”Bengt R har enligt </w:t>
      </w:r>
      <w:r w:rsidRPr="00114F86">
        <w:rPr>
          <w:rFonts w:ascii="Cambria" w:hAnsi="Cambria" w:cs="Cambria"/>
          <w:b/>
        </w:rPr>
        <w:t xml:space="preserve">19§ 2 </w:t>
      </w:r>
      <w:proofErr w:type="spellStart"/>
      <w:r w:rsidRPr="00114F86">
        <w:rPr>
          <w:rFonts w:ascii="Cambria" w:hAnsi="Cambria" w:cs="Cambria"/>
          <w:b/>
        </w:rPr>
        <w:t>st</w:t>
      </w:r>
      <w:proofErr w:type="spellEnd"/>
      <w:r w:rsidRPr="00114F86">
        <w:rPr>
          <w:rFonts w:ascii="Cambria" w:hAnsi="Cambria" w:cs="Cambria"/>
          <w:b/>
        </w:rPr>
        <w:t xml:space="preserve"> </w:t>
      </w:r>
      <w:proofErr w:type="spellStart"/>
      <w:r w:rsidRPr="00114F86">
        <w:rPr>
          <w:rFonts w:ascii="Cambria" w:hAnsi="Cambria" w:cs="Cambria"/>
          <w:b/>
        </w:rPr>
        <w:t>KöpL</w:t>
      </w:r>
      <w:proofErr w:type="spellEnd"/>
      <w:r w:rsidRPr="00DC16F4">
        <w:rPr>
          <w:rFonts w:ascii="Cambria" w:hAnsi="Cambria" w:cs="Cambria"/>
        </w:rPr>
        <w:t xml:space="preserve"> handlat i strid mot tro och heder eftersom han underlåtit att upplysa om skador som han känt till</w:t>
      </w:r>
    </w:p>
    <w:p w14:paraId="09CB0BCA" w14:textId="77777777" w:rsidR="003A6FFD" w:rsidRPr="00DC16F4" w:rsidRDefault="003A6FFD" w:rsidP="003A6FF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hyperlink r:id="rId14" w:anchor="0_19" w:history="1">
        <w:r w:rsidRPr="00114F86">
          <w:rPr>
            <w:rFonts w:ascii="Cambria" w:hAnsi="Cambria" w:cs="Cambria"/>
            <w:b/>
          </w:rPr>
          <w:t>20§</w:t>
        </w:r>
      </w:hyperlink>
      <w:r w:rsidRPr="00114F86">
        <w:rPr>
          <w:rFonts w:ascii="Cambria" w:hAnsi="Cambria" w:cs="Cambria"/>
          <w:b/>
        </w:rPr>
        <w:t xml:space="preserve"> </w:t>
      </w:r>
      <w:hyperlink r:id="rId15" w:history="1">
        <w:proofErr w:type="spellStart"/>
        <w:r w:rsidRPr="00114F86">
          <w:rPr>
            <w:rFonts w:ascii="Cambria" w:hAnsi="Cambria" w:cs="Cambria"/>
            <w:b/>
          </w:rPr>
          <w:t>KöpL</w:t>
        </w:r>
        <w:proofErr w:type="spellEnd"/>
      </w:hyperlink>
      <w:r w:rsidRPr="00DC16F4">
        <w:rPr>
          <w:rFonts w:ascii="Cambria" w:hAnsi="Cambria" w:cs="Cambria"/>
        </w:rPr>
        <w:t xml:space="preserve"> - inte åberopa fel som han känt till</w:t>
      </w:r>
    </w:p>
    <w:p w14:paraId="4D9008A4" w14:textId="77777777" w:rsidR="003A6FFD" w:rsidRPr="00DC16F4" w:rsidRDefault="003A6FFD" w:rsidP="003A6FFD">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DC16F4">
        <w:rPr>
          <w:rFonts w:ascii="Cambria" w:hAnsi="Cambria" w:cs="Cambria"/>
        </w:rPr>
        <w:t xml:space="preserve">Enligt </w:t>
      </w:r>
      <w:r w:rsidRPr="00114F86">
        <w:rPr>
          <w:rFonts w:ascii="Cambria" w:hAnsi="Cambria" w:cs="Cambria"/>
          <w:b/>
        </w:rPr>
        <w:t xml:space="preserve">20§ 2st </w:t>
      </w:r>
      <w:proofErr w:type="spellStart"/>
      <w:r w:rsidRPr="00114F86">
        <w:rPr>
          <w:rFonts w:ascii="Cambria" w:hAnsi="Cambria" w:cs="Cambria"/>
          <w:b/>
        </w:rPr>
        <w:t>KöpL</w:t>
      </w:r>
      <w:proofErr w:type="spellEnd"/>
      <w:r w:rsidRPr="00DC16F4">
        <w:rPr>
          <w:rFonts w:ascii="Cambria" w:hAnsi="Cambria" w:cs="Cambria"/>
        </w:rPr>
        <w:t xml:space="preserve"> så har inte en </w:t>
      </w:r>
      <w:proofErr w:type="gramStart"/>
      <w:r w:rsidRPr="00DC16F4">
        <w:rPr>
          <w:rFonts w:ascii="Cambria" w:hAnsi="Cambria" w:cs="Cambria"/>
        </w:rPr>
        <w:t>köparen</w:t>
      </w:r>
      <w:proofErr w:type="gramEnd"/>
      <w:r w:rsidRPr="00DC16F4">
        <w:rPr>
          <w:rFonts w:ascii="Cambria" w:hAnsi="Cambria" w:cs="Cambria"/>
        </w:rPr>
        <w:t xml:space="preserve"> någon allmän skyldighet att undersöka den köpta varan med avseende på eventuella fel. Men har köparen faktiskt undersökt varan krävs det att undersökningen är omfattande och utförs med kunskap och erfarenhet. </w:t>
      </w:r>
    </w:p>
    <w:p w14:paraId="29A867A0" w14:textId="77777777" w:rsidR="003A6FFD" w:rsidRPr="00DC16F4" w:rsidRDefault="003A6FFD" w:rsidP="003A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3C9C3C1E" w14:textId="77777777" w:rsidR="003A6FFD" w:rsidRPr="00DC16F4" w:rsidRDefault="003A6FFD" w:rsidP="003A6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DC16F4">
        <w:rPr>
          <w:rFonts w:ascii="Cambria" w:hAnsi="Cambria" w:cs="Cambria"/>
          <w:b/>
        </w:rPr>
        <w:t>Distansavtal</w:t>
      </w:r>
    </w:p>
    <w:p w14:paraId="50BB2051" w14:textId="38755777" w:rsidR="003A6FFD" w:rsidRPr="00DC16F4" w:rsidRDefault="00114F86" w:rsidP="003A6FFD">
      <w:pPr>
        <w:pStyle w:val="Normalwebb"/>
        <w:numPr>
          <w:ilvl w:val="0"/>
          <w:numId w:val="10"/>
        </w:numPr>
        <w:rPr>
          <w:rFonts w:asciiTheme="minorHAnsi" w:hAnsiTheme="minorHAnsi"/>
          <w:b/>
          <w:bCs/>
          <w:sz w:val="24"/>
          <w:szCs w:val="24"/>
        </w:rPr>
      </w:pPr>
      <w:r>
        <w:rPr>
          <w:rFonts w:asciiTheme="minorHAnsi" w:hAnsiTheme="minorHAnsi"/>
          <w:b/>
          <w:bCs/>
          <w:sz w:val="24"/>
          <w:szCs w:val="24"/>
        </w:rPr>
        <w:t>2</w:t>
      </w:r>
      <w:r w:rsidR="003A6FFD" w:rsidRPr="00DC16F4">
        <w:rPr>
          <w:rFonts w:asciiTheme="minorHAnsi" w:hAnsiTheme="minorHAnsi"/>
          <w:b/>
          <w:bCs/>
          <w:sz w:val="24"/>
          <w:szCs w:val="24"/>
        </w:rPr>
        <w:t xml:space="preserve">§ </w:t>
      </w:r>
      <w:r w:rsidR="003A6FFD" w:rsidRPr="00DC16F4">
        <w:rPr>
          <w:rFonts w:asciiTheme="minorHAnsi" w:hAnsiTheme="minorHAnsi"/>
          <w:bCs/>
          <w:sz w:val="24"/>
          <w:szCs w:val="24"/>
        </w:rPr>
        <w:t>Distansavtal</w:t>
      </w:r>
      <w:r w:rsidR="003A6FFD" w:rsidRPr="00DC16F4">
        <w:rPr>
          <w:rFonts w:asciiTheme="minorHAnsi" w:hAnsiTheme="minorHAnsi"/>
          <w:b/>
          <w:bCs/>
          <w:sz w:val="24"/>
          <w:szCs w:val="24"/>
        </w:rPr>
        <w:t xml:space="preserve"> </w:t>
      </w:r>
      <w:r w:rsidR="003A6FFD" w:rsidRPr="00DC16F4">
        <w:rPr>
          <w:rFonts w:asciiTheme="minorHAnsi" w:hAnsiTheme="minorHAnsi"/>
          <w:b/>
          <w:bCs/>
          <w:sz w:val="24"/>
          <w:szCs w:val="24"/>
        </w:rPr>
        <w:br/>
      </w:r>
      <w:r w:rsidR="003A6FFD" w:rsidRPr="00DC16F4">
        <w:rPr>
          <w:rFonts w:asciiTheme="minorHAnsi" w:hAnsiTheme="minorHAnsi"/>
          <w:sz w:val="24"/>
          <w:szCs w:val="24"/>
        </w:rPr>
        <w:t>I lagen avses med</w:t>
      </w:r>
      <w:r w:rsidR="003A6FFD" w:rsidRPr="00DC16F4">
        <w:rPr>
          <w:rFonts w:asciiTheme="minorHAnsi" w:hAnsiTheme="minorHAnsi"/>
          <w:sz w:val="24"/>
          <w:szCs w:val="24"/>
        </w:rPr>
        <w:br/>
      </w:r>
      <w:r w:rsidR="003A6FFD" w:rsidRPr="00DC16F4">
        <w:rPr>
          <w:rFonts w:asciiTheme="minorHAnsi" w:hAnsiTheme="minorHAnsi"/>
          <w:i/>
          <w:iCs/>
          <w:sz w:val="24"/>
          <w:szCs w:val="24"/>
        </w:rPr>
        <w:t>distansavtal</w:t>
      </w:r>
      <w:r w:rsidR="003A6FFD" w:rsidRPr="00DC16F4">
        <w:rPr>
          <w:rFonts w:asciiTheme="minorHAnsi" w:hAnsiTheme="minorHAnsi"/>
          <w:sz w:val="24"/>
          <w:szCs w:val="24"/>
        </w:rPr>
        <w:t xml:space="preserve">: avtal som </w:t>
      </w:r>
      <w:proofErr w:type="spellStart"/>
      <w:r w:rsidR="003A6FFD" w:rsidRPr="00DC16F4">
        <w:rPr>
          <w:rFonts w:asciiTheme="minorHAnsi" w:hAnsiTheme="minorHAnsi"/>
          <w:sz w:val="24"/>
          <w:szCs w:val="24"/>
        </w:rPr>
        <w:t>ingås</w:t>
      </w:r>
      <w:proofErr w:type="spellEnd"/>
      <w:r w:rsidR="003A6FFD" w:rsidRPr="00DC16F4">
        <w:rPr>
          <w:rFonts w:asciiTheme="minorHAnsi" w:hAnsiTheme="minorHAnsi"/>
          <w:sz w:val="24"/>
          <w:szCs w:val="24"/>
        </w:rPr>
        <w:t xml:space="preserve"> inom ramen </w:t>
      </w:r>
      <w:proofErr w:type="spellStart"/>
      <w:r w:rsidR="003A6FFD" w:rsidRPr="00DC16F4">
        <w:rPr>
          <w:rFonts w:asciiTheme="minorHAnsi" w:hAnsiTheme="minorHAnsi"/>
          <w:sz w:val="24"/>
          <w:szCs w:val="24"/>
        </w:rPr>
        <w:t>för</w:t>
      </w:r>
      <w:proofErr w:type="spellEnd"/>
      <w:r w:rsidR="003A6FFD" w:rsidRPr="00DC16F4">
        <w:rPr>
          <w:rFonts w:asciiTheme="minorHAnsi" w:hAnsiTheme="minorHAnsi"/>
          <w:sz w:val="24"/>
          <w:szCs w:val="24"/>
        </w:rPr>
        <w:t xml:space="preserve"> ett av </w:t>
      </w:r>
      <w:proofErr w:type="spellStart"/>
      <w:r w:rsidR="003A6FFD" w:rsidRPr="00DC16F4">
        <w:rPr>
          <w:rFonts w:asciiTheme="minorHAnsi" w:hAnsiTheme="minorHAnsi"/>
          <w:sz w:val="24"/>
          <w:szCs w:val="24"/>
        </w:rPr>
        <w:t>näringsidkaren</w:t>
      </w:r>
      <w:proofErr w:type="spellEnd"/>
      <w:r w:rsidR="003A6FFD" w:rsidRPr="00DC16F4">
        <w:rPr>
          <w:rFonts w:asciiTheme="minorHAnsi" w:hAnsiTheme="minorHAnsi"/>
          <w:sz w:val="24"/>
          <w:szCs w:val="24"/>
        </w:rPr>
        <w:t xml:space="preserve"> organiserat system </w:t>
      </w:r>
      <w:proofErr w:type="spellStart"/>
      <w:r w:rsidR="003A6FFD" w:rsidRPr="00DC16F4">
        <w:rPr>
          <w:rFonts w:asciiTheme="minorHAnsi" w:hAnsiTheme="minorHAnsi"/>
          <w:sz w:val="24"/>
          <w:szCs w:val="24"/>
        </w:rPr>
        <w:t>för</w:t>
      </w:r>
      <w:proofErr w:type="spellEnd"/>
      <w:r w:rsidR="003A6FFD" w:rsidRPr="00DC16F4">
        <w:rPr>
          <w:rFonts w:asciiTheme="minorHAnsi" w:hAnsiTheme="minorHAnsi"/>
          <w:sz w:val="24"/>
          <w:szCs w:val="24"/>
        </w:rPr>
        <w:t xml:space="preserve"> att </w:t>
      </w:r>
      <w:proofErr w:type="spellStart"/>
      <w:r w:rsidR="003A6FFD" w:rsidRPr="00DC16F4">
        <w:rPr>
          <w:rFonts w:asciiTheme="minorHAnsi" w:hAnsiTheme="minorHAnsi"/>
          <w:sz w:val="24"/>
          <w:szCs w:val="24"/>
        </w:rPr>
        <w:t>träffa</w:t>
      </w:r>
      <w:proofErr w:type="spellEnd"/>
      <w:r w:rsidR="003A6FFD" w:rsidRPr="00DC16F4">
        <w:rPr>
          <w:rFonts w:asciiTheme="minorHAnsi" w:hAnsiTheme="minorHAnsi"/>
          <w:sz w:val="24"/>
          <w:szCs w:val="24"/>
        </w:rPr>
        <w:t xml:space="preserve"> avtal </w:t>
      </w:r>
      <w:proofErr w:type="spellStart"/>
      <w:r w:rsidR="003A6FFD" w:rsidRPr="00DC16F4">
        <w:rPr>
          <w:rFonts w:asciiTheme="minorHAnsi" w:hAnsiTheme="minorHAnsi"/>
          <w:sz w:val="24"/>
          <w:szCs w:val="24"/>
        </w:rPr>
        <w:t>pa</w:t>
      </w:r>
      <w:proofErr w:type="spellEnd"/>
      <w:r w:rsidR="003A6FFD" w:rsidRPr="00DC16F4">
        <w:rPr>
          <w:rFonts w:asciiTheme="minorHAnsi" w:hAnsiTheme="minorHAnsi"/>
          <w:sz w:val="24"/>
          <w:szCs w:val="24"/>
        </w:rPr>
        <w:t xml:space="preserve">̊ distans, om kommunikationen uteslutande sker </w:t>
      </w:r>
      <w:proofErr w:type="spellStart"/>
      <w:r w:rsidR="003A6FFD" w:rsidRPr="00DC16F4">
        <w:rPr>
          <w:rFonts w:asciiTheme="minorHAnsi" w:hAnsiTheme="minorHAnsi"/>
          <w:sz w:val="24"/>
          <w:szCs w:val="24"/>
        </w:rPr>
        <w:t>pa</w:t>
      </w:r>
      <w:proofErr w:type="spellEnd"/>
      <w:r w:rsidR="003A6FFD" w:rsidRPr="00DC16F4">
        <w:rPr>
          <w:rFonts w:asciiTheme="minorHAnsi" w:hAnsiTheme="minorHAnsi"/>
          <w:sz w:val="24"/>
          <w:szCs w:val="24"/>
        </w:rPr>
        <w:t xml:space="preserve">̊ distans, </w:t>
      </w:r>
    </w:p>
    <w:p w14:paraId="35D39FF7" w14:textId="77777777" w:rsidR="003A6FFD" w:rsidRPr="00DC16F4" w:rsidRDefault="003A6FFD" w:rsidP="003A6FFD">
      <w:pPr>
        <w:pStyle w:val="Normalwebb"/>
        <w:numPr>
          <w:ilvl w:val="0"/>
          <w:numId w:val="10"/>
        </w:numPr>
        <w:rPr>
          <w:rFonts w:asciiTheme="minorHAnsi" w:hAnsiTheme="minorHAnsi"/>
          <w:sz w:val="24"/>
          <w:szCs w:val="24"/>
        </w:rPr>
      </w:pPr>
      <w:r w:rsidRPr="00114F86">
        <w:rPr>
          <w:rFonts w:asciiTheme="minorHAnsi" w:hAnsiTheme="minorHAnsi"/>
          <w:b/>
          <w:sz w:val="24"/>
          <w:szCs w:val="24"/>
        </w:rPr>
        <w:t>10§ KKL</w:t>
      </w:r>
      <w:r w:rsidRPr="00DC16F4">
        <w:rPr>
          <w:rFonts w:asciiTheme="minorHAnsi" w:hAnsiTheme="minorHAnsi"/>
          <w:sz w:val="24"/>
          <w:szCs w:val="24"/>
        </w:rPr>
        <w:t xml:space="preserve"> </w:t>
      </w:r>
      <w:r w:rsidRPr="00DC16F4">
        <w:rPr>
          <w:rFonts w:asciiTheme="minorHAnsi" w:hAnsiTheme="minorHAnsi"/>
          <w:sz w:val="24"/>
          <w:szCs w:val="24"/>
        </w:rPr>
        <w:br/>
        <w:t xml:space="preserve">Konsumenten har </w:t>
      </w:r>
      <w:proofErr w:type="spellStart"/>
      <w:r w:rsidRPr="00DC16F4">
        <w:rPr>
          <w:rFonts w:asciiTheme="minorHAnsi" w:hAnsiTheme="minorHAnsi"/>
          <w:sz w:val="24"/>
          <w:szCs w:val="24"/>
        </w:rPr>
        <w:t>rätt</w:t>
      </w:r>
      <w:proofErr w:type="spellEnd"/>
      <w:r w:rsidRPr="00DC16F4">
        <w:rPr>
          <w:rFonts w:asciiTheme="minorHAnsi" w:hAnsiTheme="minorHAnsi"/>
          <w:sz w:val="24"/>
          <w:szCs w:val="24"/>
        </w:rPr>
        <w:t xml:space="preserve"> att </w:t>
      </w:r>
      <w:proofErr w:type="spellStart"/>
      <w:r w:rsidRPr="00DC16F4">
        <w:rPr>
          <w:rFonts w:asciiTheme="minorHAnsi" w:hAnsiTheme="minorHAnsi"/>
          <w:sz w:val="24"/>
          <w:szCs w:val="24"/>
        </w:rPr>
        <w:t>frånträda</w:t>
      </w:r>
      <w:proofErr w:type="spellEnd"/>
      <w:r w:rsidRPr="00DC16F4">
        <w:rPr>
          <w:rFonts w:asciiTheme="minorHAnsi" w:hAnsiTheme="minorHAnsi"/>
          <w:sz w:val="24"/>
          <w:szCs w:val="24"/>
        </w:rPr>
        <w:t xml:space="preserve"> avtalet (</w:t>
      </w:r>
      <w:proofErr w:type="spellStart"/>
      <w:r w:rsidRPr="00DC16F4">
        <w:rPr>
          <w:rFonts w:asciiTheme="minorHAnsi" w:hAnsiTheme="minorHAnsi"/>
          <w:sz w:val="24"/>
          <w:szCs w:val="24"/>
        </w:rPr>
        <w:t>ångerrätt</w:t>
      </w:r>
      <w:proofErr w:type="spellEnd"/>
      <w:r w:rsidRPr="00DC16F4">
        <w:rPr>
          <w:rFonts w:asciiTheme="minorHAnsi" w:hAnsiTheme="minorHAnsi"/>
          <w:sz w:val="24"/>
          <w:szCs w:val="24"/>
        </w:rPr>
        <w:t xml:space="preserve">) genom att till </w:t>
      </w:r>
      <w:proofErr w:type="spellStart"/>
      <w:r w:rsidRPr="00DC16F4">
        <w:rPr>
          <w:rFonts w:asciiTheme="minorHAnsi" w:hAnsiTheme="minorHAnsi"/>
          <w:sz w:val="24"/>
          <w:szCs w:val="24"/>
        </w:rPr>
        <w:t>näringsidkaren</w:t>
      </w:r>
      <w:proofErr w:type="spellEnd"/>
      <w:r w:rsidRPr="00DC16F4">
        <w:rPr>
          <w:rFonts w:asciiTheme="minorHAnsi" w:hAnsiTheme="minorHAnsi"/>
          <w:sz w:val="24"/>
          <w:szCs w:val="24"/>
        </w:rPr>
        <w:t xml:space="preserve"> </w:t>
      </w:r>
      <w:proofErr w:type="spellStart"/>
      <w:r w:rsidRPr="00DC16F4">
        <w:rPr>
          <w:rFonts w:asciiTheme="minorHAnsi" w:hAnsiTheme="minorHAnsi"/>
          <w:sz w:val="24"/>
          <w:szCs w:val="24"/>
        </w:rPr>
        <w:t>lämna</w:t>
      </w:r>
      <w:proofErr w:type="spellEnd"/>
      <w:r w:rsidRPr="00DC16F4">
        <w:rPr>
          <w:rFonts w:asciiTheme="minorHAnsi" w:hAnsiTheme="minorHAnsi"/>
          <w:sz w:val="24"/>
          <w:szCs w:val="24"/>
        </w:rPr>
        <w:t xml:space="preserve"> eller </w:t>
      </w:r>
      <w:proofErr w:type="spellStart"/>
      <w:r w:rsidRPr="00DC16F4">
        <w:rPr>
          <w:rFonts w:asciiTheme="minorHAnsi" w:hAnsiTheme="minorHAnsi"/>
          <w:sz w:val="24"/>
          <w:szCs w:val="24"/>
        </w:rPr>
        <w:t>sända</w:t>
      </w:r>
      <w:proofErr w:type="spellEnd"/>
      <w:r w:rsidRPr="00DC16F4">
        <w:rPr>
          <w:rFonts w:asciiTheme="minorHAnsi" w:hAnsiTheme="minorHAnsi"/>
          <w:sz w:val="24"/>
          <w:szCs w:val="24"/>
        </w:rPr>
        <w:t xml:space="preserve"> ett meddelande om detta inom 14 dagar </w:t>
      </w:r>
      <w:proofErr w:type="spellStart"/>
      <w:r w:rsidRPr="00DC16F4">
        <w:rPr>
          <w:rFonts w:asciiTheme="minorHAnsi" w:hAnsiTheme="minorHAnsi"/>
          <w:sz w:val="24"/>
          <w:szCs w:val="24"/>
        </w:rPr>
        <w:t>från</w:t>
      </w:r>
      <w:proofErr w:type="spellEnd"/>
      <w:r w:rsidRPr="00DC16F4">
        <w:rPr>
          <w:rFonts w:asciiTheme="minorHAnsi" w:hAnsiTheme="minorHAnsi"/>
          <w:sz w:val="24"/>
          <w:szCs w:val="24"/>
        </w:rPr>
        <w:t xml:space="preserve"> den dag som anges i 12 § (</w:t>
      </w:r>
      <w:proofErr w:type="spellStart"/>
      <w:r w:rsidRPr="00DC16F4">
        <w:rPr>
          <w:rFonts w:asciiTheme="minorHAnsi" w:hAnsiTheme="minorHAnsi"/>
          <w:sz w:val="24"/>
          <w:szCs w:val="24"/>
        </w:rPr>
        <w:t>ångerfrist</w:t>
      </w:r>
      <w:proofErr w:type="spellEnd"/>
      <w:r w:rsidRPr="00DC16F4">
        <w:rPr>
          <w:rFonts w:asciiTheme="minorHAnsi" w:hAnsiTheme="minorHAnsi"/>
          <w:sz w:val="24"/>
          <w:szCs w:val="24"/>
        </w:rPr>
        <w:t xml:space="preserve">). </w:t>
      </w:r>
    </w:p>
    <w:p w14:paraId="12AC86B9" w14:textId="77777777" w:rsidR="003A6FFD" w:rsidRPr="00DC16F4" w:rsidRDefault="003A6FFD" w:rsidP="00114F86">
      <w:pPr>
        <w:pStyle w:val="Liststycke"/>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114F86">
        <w:rPr>
          <w:b/>
        </w:rPr>
        <w:t>11§ KKL</w:t>
      </w:r>
      <w:r w:rsidR="00B600C0" w:rsidRPr="00DC16F4">
        <w:t xml:space="preserve"> - </w:t>
      </w:r>
      <w:proofErr w:type="spellStart"/>
      <w:r w:rsidR="00B600C0" w:rsidRPr="00DC16F4">
        <w:t>Ångerrätt</w:t>
      </w:r>
      <w:proofErr w:type="spellEnd"/>
      <w:r w:rsidR="00B600C0" w:rsidRPr="00DC16F4">
        <w:t xml:space="preserve"> </w:t>
      </w:r>
      <w:proofErr w:type="spellStart"/>
      <w:r w:rsidR="00B600C0" w:rsidRPr="00DC16F4">
        <w:t>gäller</w:t>
      </w:r>
      <w:proofErr w:type="spellEnd"/>
      <w:r w:rsidR="00B600C0" w:rsidRPr="00DC16F4">
        <w:t xml:space="preserve"> inte </w:t>
      </w:r>
      <w:proofErr w:type="spellStart"/>
      <w:r w:rsidR="00B600C0" w:rsidRPr="00DC16F4">
        <w:t>för</w:t>
      </w:r>
      <w:proofErr w:type="spellEnd"/>
      <w:r w:rsidR="00B600C0" w:rsidRPr="00DC16F4">
        <w:t xml:space="preserve"> avtal som…</w:t>
      </w:r>
    </w:p>
    <w:p w14:paraId="7FB91F53" w14:textId="77777777" w:rsidR="00B600C0" w:rsidRPr="00DC16F4" w:rsidRDefault="00B600C0" w:rsidP="00B6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BF3B539" w14:textId="77777777" w:rsidR="00B600C0" w:rsidRPr="00DC16F4" w:rsidRDefault="00B600C0" w:rsidP="00B6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r w:rsidRPr="00DC16F4">
        <w:rPr>
          <w:rFonts w:ascii="Cambria" w:hAnsi="Cambria" w:cs="Cambria"/>
          <w:b/>
        </w:rPr>
        <w:t>Skadeståndsrätt</w:t>
      </w:r>
    </w:p>
    <w:p w14:paraId="468F792A" w14:textId="09281528" w:rsidR="00A961C9" w:rsidRPr="00A961C9" w:rsidRDefault="00A961C9" w:rsidP="00A961C9">
      <w:pPr>
        <w:pStyle w:val="Liststycke"/>
        <w:widowControl w:val="0"/>
        <w:numPr>
          <w:ilvl w:val="0"/>
          <w:numId w:val="11"/>
        </w:numPr>
        <w:autoSpaceDE w:val="0"/>
        <w:autoSpaceDN w:val="0"/>
        <w:adjustRightInd w:val="0"/>
        <w:rPr>
          <w:rFonts w:cs="Marker Felt"/>
          <w:b/>
        </w:rPr>
      </w:pPr>
      <w:r w:rsidRPr="00A961C9">
        <w:rPr>
          <w:rFonts w:cs="Marker Felt"/>
          <w:b/>
        </w:rPr>
        <w:t xml:space="preserve">2 kap. 2 </w:t>
      </w:r>
      <w:r>
        <w:rPr>
          <w:rFonts w:cs="Marker Felt"/>
          <w:b/>
        </w:rPr>
        <w:t xml:space="preserve">§ </w:t>
      </w:r>
      <w:r w:rsidRPr="00A961C9">
        <w:rPr>
          <w:rFonts w:cs="Marker Felt"/>
        </w:rPr>
        <w:t>eget ansvar</w:t>
      </w:r>
    </w:p>
    <w:p w14:paraId="4F7C587F" w14:textId="77777777" w:rsidR="00B600C0" w:rsidRPr="00DC16F4" w:rsidRDefault="00B600C0" w:rsidP="00B600C0">
      <w:pPr>
        <w:pStyle w:val="Liststycke"/>
        <w:widowControl w:val="0"/>
        <w:numPr>
          <w:ilvl w:val="0"/>
          <w:numId w:val="11"/>
        </w:numPr>
        <w:autoSpaceDE w:val="0"/>
        <w:autoSpaceDN w:val="0"/>
        <w:adjustRightInd w:val="0"/>
        <w:spacing w:line="276" w:lineRule="auto"/>
        <w:rPr>
          <w:rFonts w:cs="Georgia"/>
          <w:b/>
          <w:bCs/>
        </w:rPr>
      </w:pPr>
      <w:r w:rsidRPr="00DC16F4">
        <w:rPr>
          <w:rFonts w:cs="Georgia"/>
          <w:b/>
          <w:bCs/>
        </w:rPr>
        <w:t xml:space="preserve">3 kap. </w:t>
      </w:r>
      <w:r w:rsidRPr="00DC16F4">
        <w:rPr>
          <w:rFonts w:cs="Arial"/>
          <w:b/>
          <w:bCs/>
        </w:rPr>
        <w:t>1 §</w:t>
      </w:r>
      <w:r w:rsidRPr="00DC16F4">
        <w:rPr>
          <w:rFonts w:cs="Arial"/>
        </w:rPr>
        <w:t xml:space="preserve"> </w:t>
      </w:r>
      <w:r w:rsidRPr="00A961C9">
        <w:rPr>
          <w:rFonts w:cs="Georgia"/>
          <w:bCs/>
        </w:rPr>
        <w:t>Skadeståndsansvar för annans vållande och för det allmänna -</w:t>
      </w:r>
      <w:r w:rsidRPr="00DC16F4">
        <w:rPr>
          <w:rFonts w:cs="Georgia"/>
          <w:b/>
          <w:bCs/>
        </w:rPr>
        <w:t xml:space="preserve"> </w:t>
      </w:r>
      <w:r w:rsidRPr="00DC16F4">
        <w:rPr>
          <w:rFonts w:cs="Arial"/>
        </w:rPr>
        <w:t>Den som har arbetstagare i sin tjänst skall ersätta</w:t>
      </w:r>
      <w:proofErr w:type="gramStart"/>
      <w:r w:rsidRPr="00DC16F4">
        <w:rPr>
          <w:rFonts w:cs="Arial"/>
        </w:rPr>
        <w:t>..</w:t>
      </w:r>
      <w:proofErr w:type="gramEnd"/>
    </w:p>
    <w:p w14:paraId="144ECB42" w14:textId="77777777" w:rsidR="00B600C0" w:rsidRPr="00DC16F4" w:rsidRDefault="00B600C0" w:rsidP="00B600C0">
      <w:pPr>
        <w:pStyle w:val="Liststycke"/>
        <w:numPr>
          <w:ilvl w:val="0"/>
          <w:numId w:val="11"/>
        </w:numPr>
        <w:spacing w:line="276" w:lineRule="auto"/>
      </w:pPr>
      <w:r w:rsidRPr="00A961C9">
        <w:rPr>
          <w:rFonts w:cs="Marker Felt"/>
          <w:b/>
        </w:rPr>
        <w:t>6 kap</w:t>
      </w:r>
      <w:r w:rsidRPr="00DC16F4">
        <w:rPr>
          <w:rFonts w:cs="Marker Felt"/>
        </w:rPr>
        <w:t xml:space="preserve"> medvållande</w:t>
      </w:r>
    </w:p>
    <w:p w14:paraId="2DD86CDB" w14:textId="77777777" w:rsidR="00B600C0" w:rsidRPr="00DC16F4" w:rsidRDefault="00B600C0" w:rsidP="00B600C0">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2D4EB24" w14:textId="3A707060" w:rsidR="003A6FFD" w:rsidRPr="00DC16F4" w:rsidRDefault="00AB5ADE" w:rsidP="00AB5ADE">
      <w:pPr>
        <w:widowControl w:val="0"/>
        <w:autoSpaceDE w:val="0"/>
        <w:autoSpaceDN w:val="0"/>
        <w:adjustRightInd w:val="0"/>
        <w:rPr>
          <w:rFonts w:cs="Arial"/>
          <w:b/>
        </w:rPr>
      </w:pPr>
      <w:r w:rsidRPr="00DC16F4">
        <w:rPr>
          <w:rFonts w:cs="Arial"/>
          <w:b/>
        </w:rPr>
        <w:t xml:space="preserve">Borgen – Handelsbalken </w:t>
      </w:r>
    </w:p>
    <w:p w14:paraId="2CCA99ED" w14:textId="36473A53" w:rsidR="00AB5ADE" w:rsidRPr="00A961C9" w:rsidRDefault="00AB5ADE" w:rsidP="00AB5ADE">
      <w:pPr>
        <w:pStyle w:val="Liststycke"/>
        <w:numPr>
          <w:ilvl w:val="0"/>
          <w:numId w:val="12"/>
        </w:numPr>
        <w:rPr>
          <w:b/>
        </w:rPr>
      </w:pPr>
      <w:r w:rsidRPr="00DC16F4">
        <w:t xml:space="preserve">Enkel borgen </w:t>
      </w:r>
      <w:r w:rsidR="00A961C9">
        <w:rPr>
          <w:b/>
        </w:rPr>
        <w:t>10:8</w:t>
      </w:r>
      <w:r w:rsidRPr="00A961C9">
        <w:rPr>
          <w:b/>
        </w:rPr>
        <w:t xml:space="preserve"> HB</w:t>
      </w:r>
    </w:p>
    <w:p w14:paraId="737FF2DC" w14:textId="2D4798B5" w:rsidR="00AB5ADE" w:rsidRPr="00DC16F4" w:rsidRDefault="00AB5ADE" w:rsidP="00AB5ADE">
      <w:pPr>
        <w:pStyle w:val="Liststycke"/>
        <w:numPr>
          <w:ilvl w:val="0"/>
          <w:numId w:val="12"/>
        </w:numPr>
      </w:pPr>
      <w:r w:rsidRPr="00DC16F4">
        <w:t xml:space="preserve">Proprieborgen </w:t>
      </w:r>
      <w:r w:rsidR="00A961C9">
        <w:rPr>
          <w:b/>
        </w:rPr>
        <w:t>10:9</w:t>
      </w:r>
      <w:r w:rsidRPr="00A961C9">
        <w:rPr>
          <w:b/>
        </w:rPr>
        <w:t xml:space="preserve"> HB</w:t>
      </w:r>
    </w:p>
    <w:p w14:paraId="0E94D2FE" w14:textId="77777777" w:rsidR="00AB5ADE" w:rsidRPr="00DC16F4" w:rsidRDefault="00AB5ADE" w:rsidP="00AB5ADE">
      <w:pPr>
        <w:pStyle w:val="Liststycke"/>
        <w:numPr>
          <w:ilvl w:val="0"/>
          <w:numId w:val="12"/>
        </w:numPr>
      </w:pPr>
      <w:r w:rsidRPr="00DC16F4">
        <w:t xml:space="preserve">Flera borgensmän </w:t>
      </w:r>
      <w:r w:rsidRPr="00A961C9">
        <w:rPr>
          <w:b/>
        </w:rPr>
        <w:t>10:11 HB</w:t>
      </w:r>
    </w:p>
    <w:p w14:paraId="0693E8E6" w14:textId="77777777" w:rsidR="00AB5ADE" w:rsidRPr="00DC16F4" w:rsidRDefault="00AB5ADE" w:rsidP="00AB5ADE">
      <w:pPr>
        <w:rPr>
          <w:b/>
        </w:rPr>
      </w:pPr>
    </w:p>
    <w:p w14:paraId="510D9D48" w14:textId="1257A103" w:rsidR="00AB5ADE" w:rsidRPr="00A961C9" w:rsidRDefault="00AB5ADE" w:rsidP="00AB5ADE">
      <w:pPr>
        <w:rPr>
          <w:b/>
        </w:rPr>
      </w:pPr>
      <w:r w:rsidRPr="00A961C9">
        <w:rPr>
          <w:b/>
        </w:rPr>
        <w:t>Skuldebrevslagen</w:t>
      </w:r>
    </w:p>
    <w:p w14:paraId="735A60BF" w14:textId="77777777" w:rsidR="00AB5ADE" w:rsidRPr="00DC16F4" w:rsidRDefault="00AB5ADE" w:rsidP="00AB5ADE">
      <w:pPr>
        <w:pStyle w:val="Liststycke"/>
        <w:rPr>
          <w:b/>
        </w:rPr>
      </w:pPr>
    </w:p>
    <w:p w14:paraId="6DEAE90A" w14:textId="2DBD7389" w:rsidR="00AB5ADE" w:rsidRPr="00DC16F4" w:rsidRDefault="00AB5ADE" w:rsidP="00AB5ADE">
      <w:pPr>
        <w:pStyle w:val="Liststycke"/>
        <w:numPr>
          <w:ilvl w:val="0"/>
          <w:numId w:val="12"/>
        </w:numPr>
      </w:pPr>
      <w:r w:rsidRPr="00DC16F4">
        <w:t xml:space="preserve">Regressrätt </w:t>
      </w:r>
      <w:r w:rsidRPr="00A961C9">
        <w:rPr>
          <w:b/>
        </w:rPr>
        <w:t>2§ 2st</w:t>
      </w:r>
      <w:r w:rsidRPr="00DC16F4">
        <w:t xml:space="preserve"> </w:t>
      </w:r>
      <w:proofErr w:type="spellStart"/>
      <w:r w:rsidRPr="00DC16F4">
        <w:t>Sk</w:t>
      </w:r>
      <w:r w:rsidR="00A961C9">
        <w:t>brL</w:t>
      </w:r>
      <w:proofErr w:type="spellEnd"/>
    </w:p>
    <w:p w14:paraId="05FF09F6" w14:textId="27A46438" w:rsidR="00AB5ADE" w:rsidRDefault="00AB5ADE" w:rsidP="00AB5ADE">
      <w:pPr>
        <w:pStyle w:val="Liststycke"/>
        <w:numPr>
          <w:ilvl w:val="0"/>
          <w:numId w:val="12"/>
        </w:numPr>
      </w:pPr>
      <w:r w:rsidRPr="00DC16F4">
        <w:t xml:space="preserve">Solidariskt ansvar </w:t>
      </w:r>
      <w:r w:rsidRPr="00A961C9">
        <w:rPr>
          <w:b/>
        </w:rPr>
        <w:t>2§ 1st</w:t>
      </w:r>
      <w:r w:rsidRPr="00DC16F4">
        <w:t xml:space="preserve">. </w:t>
      </w:r>
      <w:proofErr w:type="spellStart"/>
      <w:r w:rsidRPr="00DC16F4">
        <w:t>SkbrL</w:t>
      </w:r>
      <w:proofErr w:type="spellEnd"/>
    </w:p>
    <w:p w14:paraId="36BB66D2" w14:textId="1766F704" w:rsidR="00383744" w:rsidRDefault="00383744" w:rsidP="00AB5ADE">
      <w:pPr>
        <w:pStyle w:val="Liststycke"/>
        <w:numPr>
          <w:ilvl w:val="0"/>
          <w:numId w:val="12"/>
        </w:numPr>
      </w:pPr>
      <w:r>
        <w:t xml:space="preserve">Löpande skuldebrev </w:t>
      </w:r>
      <w:r w:rsidRPr="00383744">
        <w:rPr>
          <w:b/>
        </w:rPr>
        <w:t>13§ 1st</w:t>
      </w:r>
    </w:p>
    <w:p w14:paraId="020510ED" w14:textId="641F20A8" w:rsidR="00383744" w:rsidRPr="00DC16F4" w:rsidRDefault="00383744" w:rsidP="00AB5ADE">
      <w:pPr>
        <w:pStyle w:val="Liststycke"/>
        <w:numPr>
          <w:ilvl w:val="0"/>
          <w:numId w:val="12"/>
        </w:numPr>
      </w:pPr>
      <w:r>
        <w:t xml:space="preserve">Enkla skuldebrev </w:t>
      </w:r>
      <w:r w:rsidRPr="00383744">
        <w:rPr>
          <w:b/>
        </w:rPr>
        <w:t>13§ 2st</w:t>
      </w:r>
    </w:p>
    <w:p w14:paraId="221CA7A8" w14:textId="77777777" w:rsidR="00A961C9" w:rsidRPr="00DC16F4" w:rsidRDefault="00A961C9" w:rsidP="00A961C9">
      <w:pPr>
        <w:pStyle w:val="Liststycke"/>
        <w:numPr>
          <w:ilvl w:val="0"/>
          <w:numId w:val="12"/>
        </w:numPr>
        <w:rPr>
          <w:b/>
        </w:rPr>
      </w:pPr>
      <w:r w:rsidRPr="00DC16F4">
        <w:t xml:space="preserve">Löpande skuldebrev kan </w:t>
      </w:r>
      <w:proofErr w:type="spellStart"/>
      <w:r w:rsidRPr="00DC16F4">
        <w:t>godtroförvärvas</w:t>
      </w:r>
      <w:proofErr w:type="spellEnd"/>
      <w:r w:rsidRPr="00DC16F4">
        <w:t>.(</w:t>
      </w:r>
      <w:r w:rsidRPr="00A961C9">
        <w:rPr>
          <w:b/>
        </w:rPr>
        <w:t>15§ 1st.)</w:t>
      </w:r>
    </w:p>
    <w:p w14:paraId="0433150E" w14:textId="77777777" w:rsidR="00383744" w:rsidRPr="00DC16F4" w:rsidRDefault="00383744" w:rsidP="00383744">
      <w:pPr>
        <w:pStyle w:val="Liststycke"/>
        <w:numPr>
          <w:ilvl w:val="0"/>
          <w:numId w:val="12"/>
        </w:numPr>
        <w:tabs>
          <w:tab w:val="left" w:pos="1712"/>
        </w:tabs>
      </w:pPr>
      <w:r w:rsidRPr="00DC16F4">
        <w:t xml:space="preserve">Kvitto spelar ingen roll men anteckning hade hjälpt. </w:t>
      </w:r>
      <w:r w:rsidRPr="00A961C9">
        <w:rPr>
          <w:b/>
        </w:rPr>
        <w:t xml:space="preserve">(21§ </w:t>
      </w:r>
      <w:proofErr w:type="spellStart"/>
      <w:r w:rsidRPr="00A961C9">
        <w:rPr>
          <w:b/>
        </w:rPr>
        <w:t>st</w:t>
      </w:r>
      <w:proofErr w:type="spellEnd"/>
      <w:r w:rsidRPr="00A961C9">
        <w:rPr>
          <w:b/>
        </w:rPr>
        <w:t>).</w:t>
      </w:r>
      <w:r w:rsidRPr="00DC16F4">
        <w:t xml:space="preserve"> </w:t>
      </w:r>
    </w:p>
    <w:p w14:paraId="07066B61" w14:textId="16627D1E" w:rsidR="00AB5ADE" w:rsidRPr="00DC16F4" w:rsidRDefault="00AB5ADE" w:rsidP="00AB5ADE">
      <w:pPr>
        <w:pStyle w:val="Liststycke"/>
        <w:numPr>
          <w:ilvl w:val="0"/>
          <w:numId w:val="12"/>
        </w:numPr>
        <w:rPr>
          <w:b/>
        </w:rPr>
      </w:pPr>
      <w:r w:rsidRPr="00DC16F4">
        <w:t xml:space="preserve">Enkelt skuldebrev </w:t>
      </w:r>
      <w:r w:rsidRPr="00A961C9">
        <w:rPr>
          <w:b/>
        </w:rPr>
        <w:t>(26 §)</w:t>
      </w:r>
    </w:p>
    <w:p w14:paraId="0D32842A" w14:textId="77777777" w:rsidR="00DC16F4" w:rsidRPr="00DC16F4" w:rsidRDefault="00DC16F4" w:rsidP="00DC16F4">
      <w:pPr>
        <w:pStyle w:val="Liststycke"/>
        <w:numPr>
          <w:ilvl w:val="0"/>
          <w:numId w:val="12"/>
        </w:numPr>
        <w:tabs>
          <w:tab w:val="left" w:pos="1712"/>
        </w:tabs>
      </w:pPr>
      <w:r w:rsidRPr="00DC16F4">
        <w:t>Enkla skuldebrev: Underrätta gäldenärerna (</w:t>
      </w:r>
      <w:r w:rsidRPr="00A961C9">
        <w:rPr>
          <w:b/>
        </w:rPr>
        <w:t xml:space="preserve">31§ </w:t>
      </w:r>
      <w:proofErr w:type="spellStart"/>
      <w:r w:rsidRPr="00A961C9">
        <w:rPr>
          <w:b/>
        </w:rPr>
        <w:t>SkBrL</w:t>
      </w:r>
      <w:proofErr w:type="spellEnd"/>
      <w:r w:rsidRPr="00A961C9">
        <w:rPr>
          <w:b/>
        </w:rPr>
        <w:t>)</w:t>
      </w:r>
      <w:r w:rsidRPr="00DC16F4">
        <w:t xml:space="preserve"> – då är de trygga.</w:t>
      </w:r>
    </w:p>
    <w:p w14:paraId="621E822A" w14:textId="77777777" w:rsidR="00DC16F4" w:rsidRPr="00DC16F4" w:rsidRDefault="00DC16F4" w:rsidP="00DC16F4">
      <w:pPr>
        <w:pStyle w:val="Liststycke"/>
        <w:numPr>
          <w:ilvl w:val="0"/>
          <w:numId w:val="12"/>
        </w:numPr>
        <w:tabs>
          <w:tab w:val="left" w:pos="1712"/>
        </w:tabs>
      </w:pPr>
      <w:r w:rsidRPr="00DC16F4">
        <w:t xml:space="preserve">Löpande skuldebrev: Tradition – När fordran är i den nya borgenärens </w:t>
      </w:r>
      <w:proofErr w:type="gramStart"/>
      <w:r w:rsidRPr="00DC16F4">
        <w:t>besittning</w:t>
      </w:r>
      <w:proofErr w:type="gramEnd"/>
      <w:r w:rsidRPr="00DC16F4">
        <w:t xml:space="preserve"> </w:t>
      </w:r>
      <w:r w:rsidRPr="00383744">
        <w:rPr>
          <w:b/>
        </w:rPr>
        <w:t xml:space="preserve">(22§ 1st </w:t>
      </w:r>
      <w:proofErr w:type="spellStart"/>
      <w:r w:rsidRPr="00383744">
        <w:rPr>
          <w:b/>
        </w:rPr>
        <w:t>SKbrL</w:t>
      </w:r>
      <w:proofErr w:type="spellEnd"/>
      <w:r w:rsidRPr="00383744">
        <w:rPr>
          <w:b/>
        </w:rPr>
        <w:t>)</w:t>
      </w:r>
      <w:r w:rsidRPr="00DC16F4">
        <w:t xml:space="preserve"> </w:t>
      </w:r>
      <w:r w:rsidRPr="00DC16F4">
        <w:sym w:font="Wingdings" w:char="F0E0"/>
      </w:r>
      <w:r w:rsidRPr="00DC16F4">
        <w:t xml:space="preserve"> då är de trygga</w:t>
      </w:r>
    </w:p>
    <w:p w14:paraId="34777C69" w14:textId="77777777" w:rsidR="00DC16F4" w:rsidRPr="00DC16F4" w:rsidRDefault="00DC16F4" w:rsidP="00DC16F4">
      <w:pPr>
        <w:pStyle w:val="Liststycke"/>
        <w:numPr>
          <w:ilvl w:val="0"/>
          <w:numId w:val="12"/>
        </w:numPr>
        <w:tabs>
          <w:tab w:val="left" w:pos="1712"/>
        </w:tabs>
      </w:pPr>
      <w:r w:rsidRPr="00DC16F4">
        <w:t xml:space="preserve">OBS: </w:t>
      </w:r>
      <w:r w:rsidRPr="00383744">
        <w:rPr>
          <w:b/>
        </w:rPr>
        <w:t xml:space="preserve">(22§ 2st) </w:t>
      </w:r>
      <w:r w:rsidRPr="00DC16F4">
        <w:rPr>
          <w:rFonts w:cs="Charter Roman"/>
        </w:rPr>
        <w:t xml:space="preserve">Säljer bank, kreditmarknadsföretag eller värdepappersinstitut löpande skuldebrev, vare försäljningen gällande mot bankens, kreditmarknadsföretagets eller värdepappersinstitutets borgenärer, ändå att skuldebrevet för förvaring kvarlämnats hos banken, företaget eller institutet. </w:t>
      </w:r>
      <w:r w:rsidRPr="00DC16F4">
        <w:rPr>
          <w:rFonts w:cs="Charter Roman"/>
          <w:i/>
          <w:iCs/>
        </w:rPr>
        <w:t>Lag (2001:171).”</w:t>
      </w:r>
    </w:p>
    <w:p w14:paraId="74E841D5" w14:textId="77777777" w:rsidR="00DC16F4" w:rsidRPr="00DC16F4" w:rsidRDefault="00DC16F4" w:rsidP="00AB5ADE">
      <w:pPr>
        <w:pStyle w:val="Liststycke"/>
        <w:numPr>
          <w:ilvl w:val="0"/>
          <w:numId w:val="12"/>
        </w:numPr>
        <w:tabs>
          <w:tab w:val="left" w:pos="1712"/>
        </w:tabs>
      </w:pPr>
    </w:p>
    <w:p w14:paraId="6F2E2092" w14:textId="38F4B299" w:rsidR="00AB5ADE" w:rsidRPr="00DC16F4" w:rsidRDefault="00AB5ADE" w:rsidP="00AB5ADE">
      <w:pPr>
        <w:rPr>
          <w:b/>
        </w:rPr>
      </w:pPr>
      <w:r w:rsidRPr="00DC16F4">
        <w:rPr>
          <w:b/>
        </w:rPr>
        <w:t>Preskriptionslagen (1981:130)</w:t>
      </w:r>
      <w:r w:rsidR="003415D5">
        <w:rPr>
          <w:b/>
        </w:rPr>
        <w:t xml:space="preserve"> - Handelsbalken</w:t>
      </w:r>
    </w:p>
    <w:p w14:paraId="64456F92" w14:textId="77777777" w:rsidR="00AB5ADE" w:rsidRPr="00DC16F4" w:rsidRDefault="00AB5ADE" w:rsidP="00AB5ADE">
      <w:pPr>
        <w:rPr>
          <w:b/>
        </w:rPr>
      </w:pPr>
    </w:p>
    <w:p w14:paraId="5B02303C" w14:textId="7B11A755" w:rsidR="00AB5ADE" w:rsidRPr="00DC16F4" w:rsidRDefault="00AB5ADE" w:rsidP="00AB5ADE">
      <w:pPr>
        <w:pStyle w:val="Liststycke"/>
        <w:numPr>
          <w:ilvl w:val="0"/>
          <w:numId w:val="12"/>
        </w:numPr>
      </w:pPr>
      <w:r w:rsidRPr="003415D5">
        <w:rPr>
          <w:b/>
          <w:lang w:val="en-US"/>
        </w:rPr>
        <w:t>2</w:t>
      </w:r>
      <w:r w:rsidRPr="003415D5">
        <w:rPr>
          <w:rFonts w:hint="eastAsia"/>
          <w:b/>
          <w:lang w:val="en-US"/>
        </w:rPr>
        <w:t>§</w:t>
      </w:r>
      <w:r w:rsidRPr="003415D5">
        <w:rPr>
          <w:b/>
          <w:lang w:val="en-US"/>
        </w:rPr>
        <w:t xml:space="preserve">1 </w:t>
      </w:r>
      <w:proofErr w:type="spellStart"/>
      <w:r w:rsidRPr="003415D5">
        <w:rPr>
          <w:b/>
          <w:lang w:val="en-US"/>
        </w:rPr>
        <w:t>st</w:t>
      </w:r>
      <w:r w:rsidRPr="00DC16F4">
        <w:rPr>
          <w:lang w:val="en-US"/>
        </w:rPr>
        <w:t>.</w:t>
      </w:r>
      <w:proofErr w:type="spellEnd"/>
      <w:r w:rsidRPr="00DC16F4">
        <w:rPr>
          <w:lang w:val="en-US"/>
        </w:rPr>
        <w:t xml:space="preserve"> En </w:t>
      </w:r>
      <w:proofErr w:type="spellStart"/>
      <w:r w:rsidRPr="00DC16F4">
        <w:rPr>
          <w:lang w:val="en-US"/>
        </w:rPr>
        <w:t>fordran</w:t>
      </w:r>
      <w:proofErr w:type="spellEnd"/>
      <w:r w:rsidRPr="00DC16F4">
        <w:rPr>
          <w:lang w:val="en-US"/>
        </w:rPr>
        <w:t xml:space="preserve"> </w:t>
      </w:r>
      <w:proofErr w:type="spellStart"/>
      <w:r w:rsidRPr="00DC16F4">
        <w:rPr>
          <w:lang w:val="en-US"/>
        </w:rPr>
        <w:t>preskriberas</w:t>
      </w:r>
      <w:proofErr w:type="spellEnd"/>
      <w:r w:rsidRPr="00DC16F4">
        <w:rPr>
          <w:lang w:val="en-US"/>
        </w:rPr>
        <w:t xml:space="preserve"> </w:t>
      </w:r>
      <w:proofErr w:type="spellStart"/>
      <w:r w:rsidRPr="00DC16F4">
        <w:rPr>
          <w:lang w:val="en-US"/>
        </w:rPr>
        <w:t>tio</w:t>
      </w:r>
      <w:proofErr w:type="spellEnd"/>
      <w:r w:rsidRPr="00DC16F4">
        <w:rPr>
          <w:lang w:val="en-US"/>
        </w:rPr>
        <w:t xml:space="preserve"> </w:t>
      </w:r>
      <w:proofErr w:type="spellStart"/>
      <w:r w:rsidRPr="00DC16F4">
        <w:rPr>
          <w:lang w:val="en-US"/>
        </w:rPr>
        <w:t>år</w:t>
      </w:r>
      <w:proofErr w:type="spellEnd"/>
      <w:r w:rsidRPr="00DC16F4">
        <w:rPr>
          <w:lang w:val="en-US"/>
        </w:rPr>
        <w:t xml:space="preserve"> </w:t>
      </w:r>
      <w:proofErr w:type="spellStart"/>
      <w:r w:rsidRPr="00DC16F4">
        <w:rPr>
          <w:lang w:val="en-US"/>
        </w:rPr>
        <w:t>efter</w:t>
      </w:r>
      <w:proofErr w:type="spellEnd"/>
      <w:r w:rsidR="00DC16F4">
        <w:rPr>
          <w:lang w:val="en-US"/>
        </w:rPr>
        <w:t xml:space="preserve"> </w:t>
      </w:r>
      <w:proofErr w:type="spellStart"/>
      <w:r w:rsidRPr="00DC16F4">
        <w:rPr>
          <w:lang w:val="en-US"/>
        </w:rPr>
        <w:t>tillkomsten</w:t>
      </w:r>
      <w:proofErr w:type="spellEnd"/>
      <w:r w:rsidRPr="00DC16F4">
        <w:rPr>
          <w:lang w:val="en-US"/>
        </w:rPr>
        <w:t xml:space="preserve">, </w:t>
      </w:r>
      <w:proofErr w:type="spellStart"/>
      <w:proofErr w:type="gramStart"/>
      <w:r w:rsidRPr="00DC16F4">
        <w:rPr>
          <w:lang w:val="en-US"/>
        </w:rPr>
        <w:t>om</w:t>
      </w:r>
      <w:proofErr w:type="spellEnd"/>
      <w:proofErr w:type="gramEnd"/>
      <w:r w:rsidRPr="00DC16F4">
        <w:rPr>
          <w:lang w:val="en-US"/>
        </w:rPr>
        <w:t xml:space="preserve"> </w:t>
      </w:r>
      <w:proofErr w:type="spellStart"/>
      <w:r w:rsidRPr="00DC16F4">
        <w:rPr>
          <w:lang w:val="en-US"/>
        </w:rPr>
        <w:t>inte</w:t>
      </w:r>
      <w:proofErr w:type="spellEnd"/>
      <w:r w:rsidRPr="00DC16F4">
        <w:rPr>
          <w:lang w:val="en-US"/>
        </w:rPr>
        <w:t xml:space="preserve"> </w:t>
      </w:r>
      <w:proofErr w:type="spellStart"/>
      <w:r w:rsidRPr="00DC16F4">
        <w:rPr>
          <w:lang w:val="en-US"/>
        </w:rPr>
        <w:t>preskriptionen</w:t>
      </w:r>
      <w:proofErr w:type="spellEnd"/>
      <w:r w:rsidRPr="00DC16F4">
        <w:rPr>
          <w:lang w:val="en-US"/>
        </w:rPr>
        <w:t xml:space="preserve"> </w:t>
      </w:r>
      <w:proofErr w:type="spellStart"/>
      <w:r w:rsidRPr="00DC16F4">
        <w:rPr>
          <w:lang w:val="en-US"/>
        </w:rPr>
        <w:t>avbryts</w:t>
      </w:r>
      <w:proofErr w:type="spellEnd"/>
      <w:r w:rsidRPr="00DC16F4">
        <w:t xml:space="preserve"> </w:t>
      </w:r>
      <w:proofErr w:type="spellStart"/>
      <w:r w:rsidRPr="00DC16F4">
        <w:rPr>
          <w:lang w:val="en-US"/>
        </w:rPr>
        <w:t>dessförinnan</w:t>
      </w:r>
      <w:proofErr w:type="spellEnd"/>
      <w:r w:rsidRPr="00DC16F4">
        <w:rPr>
          <w:lang w:val="en-US"/>
        </w:rPr>
        <w:t>.</w:t>
      </w:r>
    </w:p>
    <w:p w14:paraId="7E0155A5" w14:textId="77777777" w:rsidR="00AB5ADE" w:rsidRPr="00DC16F4" w:rsidRDefault="00AB5ADE" w:rsidP="00AB5ADE">
      <w:pPr>
        <w:pStyle w:val="Liststycke"/>
        <w:numPr>
          <w:ilvl w:val="0"/>
          <w:numId w:val="12"/>
        </w:numPr>
      </w:pPr>
      <w:r w:rsidRPr="003415D5">
        <w:rPr>
          <w:b/>
          <w:lang w:val="en-US"/>
        </w:rPr>
        <w:t>5</w:t>
      </w:r>
      <w:r w:rsidRPr="003415D5">
        <w:rPr>
          <w:rFonts w:hint="eastAsia"/>
          <w:b/>
          <w:lang w:val="en-US"/>
        </w:rPr>
        <w:t>§</w:t>
      </w:r>
      <w:proofErr w:type="spellStart"/>
      <w:r w:rsidRPr="00DC16F4">
        <w:rPr>
          <w:lang w:val="en-US"/>
        </w:rPr>
        <w:t>Preskriptionsavbrott</w:t>
      </w:r>
      <w:proofErr w:type="spellEnd"/>
    </w:p>
    <w:p w14:paraId="143F91B5" w14:textId="77777777" w:rsidR="00AB5ADE" w:rsidRPr="00DC16F4" w:rsidRDefault="00AB5ADE" w:rsidP="00AB5ADE">
      <w:pPr>
        <w:pStyle w:val="Liststycke"/>
        <w:numPr>
          <w:ilvl w:val="0"/>
          <w:numId w:val="12"/>
        </w:numPr>
      </w:pPr>
      <w:r w:rsidRPr="003415D5">
        <w:rPr>
          <w:b/>
        </w:rPr>
        <w:t>9 §</w:t>
      </w:r>
      <w:r w:rsidRPr="00DC16F4">
        <w:t xml:space="preserve"> Flera borgensmän</w:t>
      </w:r>
    </w:p>
    <w:p w14:paraId="34CE451E" w14:textId="7AE6E5AF" w:rsidR="00AB5ADE" w:rsidRPr="00DC16F4" w:rsidRDefault="00AB5ADE" w:rsidP="00AB5ADE">
      <w:pPr>
        <w:pStyle w:val="Liststycke"/>
        <w:numPr>
          <w:ilvl w:val="0"/>
          <w:numId w:val="12"/>
        </w:numPr>
      </w:pPr>
      <w:r w:rsidRPr="00DC16F4">
        <w:rPr>
          <w:rFonts w:cs="Verdana"/>
        </w:rPr>
        <w:t xml:space="preserve">Om flera har åtagit sig eller förpliktats att svara solidariskt för samma skuld och denna preskriberas i förhållande till någon av dem, svarar var och en av de andra endast för sin andel. Andelarna beräknas efter huvudtalet, om inte annat har bestämts genom ett avtal eller avgörande som borgenären har fått kännedom om senast sex månader före preskriptionen. </w:t>
      </w:r>
      <w:r w:rsidRPr="003415D5">
        <w:rPr>
          <w:rFonts w:cs="Verdana"/>
          <w:b/>
        </w:rPr>
        <w:t>(9§ 1st)</w:t>
      </w:r>
    </w:p>
    <w:p w14:paraId="0BB0274D" w14:textId="77777777" w:rsidR="00AB5ADE" w:rsidRPr="00DC16F4" w:rsidRDefault="00AB5ADE" w:rsidP="00AB5ADE">
      <w:pPr>
        <w:pStyle w:val="Liststycke"/>
        <w:numPr>
          <w:ilvl w:val="0"/>
          <w:numId w:val="12"/>
        </w:numPr>
        <w:rPr>
          <w:rFonts w:cs="Verdana"/>
        </w:rPr>
      </w:pPr>
      <w:r w:rsidRPr="00DC16F4">
        <w:rPr>
          <w:rFonts w:cs="Verdana"/>
        </w:rPr>
        <w:t xml:space="preserve">Uppkommer brist hos någon av de kvarvarande gäldenärerna, fördelas ansvaret för bristen mellan de övriga kvarvarande och borgenären. </w:t>
      </w:r>
      <w:proofErr w:type="gramStart"/>
      <w:r w:rsidRPr="00DC16F4">
        <w:rPr>
          <w:rFonts w:cs="Verdana"/>
        </w:rPr>
        <w:t>Därvid</w:t>
      </w:r>
      <w:proofErr w:type="gramEnd"/>
      <w:r w:rsidRPr="00DC16F4">
        <w:rPr>
          <w:rFonts w:cs="Verdana"/>
        </w:rPr>
        <w:t xml:space="preserve"> svarar varje gäldenär i förhållande till sin andel och borgenären i förhållande till den andel som har preskriberats. (</w:t>
      </w:r>
      <w:r w:rsidRPr="003415D5">
        <w:rPr>
          <w:rFonts w:cs="Verdana"/>
          <w:b/>
        </w:rPr>
        <w:t>9§ 2st)</w:t>
      </w:r>
    </w:p>
    <w:p w14:paraId="0636EA9F" w14:textId="77777777" w:rsidR="00DC16F4" w:rsidRPr="00DC16F4" w:rsidRDefault="00DC16F4" w:rsidP="00DC16F4">
      <w:pPr>
        <w:widowControl w:val="0"/>
        <w:autoSpaceDE w:val="0"/>
        <w:autoSpaceDN w:val="0"/>
        <w:adjustRightInd w:val="0"/>
        <w:rPr>
          <w:rFonts w:cs="Arial"/>
        </w:rPr>
      </w:pPr>
    </w:p>
    <w:p w14:paraId="03D37730" w14:textId="6B541DBC" w:rsidR="00DC16F4" w:rsidRPr="00DC16F4" w:rsidRDefault="00DC16F4" w:rsidP="00DC16F4">
      <w:pPr>
        <w:widowControl w:val="0"/>
        <w:autoSpaceDE w:val="0"/>
        <w:autoSpaceDN w:val="0"/>
        <w:adjustRightInd w:val="0"/>
        <w:rPr>
          <w:rFonts w:cs="Arial"/>
          <w:b/>
        </w:rPr>
      </w:pPr>
      <w:r w:rsidRPr="00DC16F4">
        <w:rPr>
          <w:rFonts w:cs="Arial"/>
          <w:b/>
        </w:rPr>
        <w:t>Konsumentkreditlagen</w:t>
      </w:r>
      <w:r w:rsidR="003415D5">
        <w:rPr>
          <w:rFonts w:cs="Arial"/>
          <w:b/>
        </w:rPr>
        <w:t xml:space="preserve"> - Handelsbalken</w:t>
      </w:r>
    </w:p>
    <w:p w14:paraId="1B745C9D" w14:textId="15059E20" w:rsidR="00DC16F4" w:rsidRPr="00DC16F4" w:rsidRDefault="00DC16F4" w:rsidP="00DC16F4">
      <w:pPr>
        <w:pStyle w:val="Liststycke"/>
        <w:numPr>
          <w:ilvl w:val="0"/>
          <w:numId w:val="13"/>
        </w:numPr>
        <w:tabs>
          <w:tab w:val="left" w:pos="1712"/>
        </w:tabs>
      </w:pPr>
      <w:r w:rsidRPr="00DC16F4">
        <w:t>Kon</w:t>
      </w:r>
      <w:r w:rsidR="003415D5">
        <w:t>sumentkreditlagen,</w:t>
      </w:r>
      <w:bookmarkStart w:id="0" w:name="_GoBack"/>
      <w:r w:rsidR="003415D5" w:rsidRPr="003415D5">
        <w:rPr>
          <w:b/>
        </w:rPr>
        <w:t xml:space="preserve"> </w:t>
      </w:r>
      <w:proofErr w:type="spellStart"/>
      <w:r w:rsidR="003415D5" w:rsidRPr="003415D5">
        <w:rPr>
          <w:b/>
        </w:rPr>
        <w:t>KKrL</w:t>
      </w:r>
      <w:proofErr w:type="spellEnd"/>
      <w:r w:rsidR="003415D5">
        <w:t xml:space="preserve"> </w:t>
      </w:r>
      <w:bookmarkEnd w:id="0"/>
      <w:r w:rsidRPr="003415D5">
        <w:rPr>
          <w:b/>
        </w:rPr>
        <w:t>30§</w:t>
      </w:r>
      <w:r w:rsidRPr="00DC16F4">
        <w:t xml:space="preserve"> </w:t>
      </w:r>
      <w:r w:rsidRPr="00DC16F4">
        <w:sym w:font="Wingdings" w:char="F0E0"/>
      </w:r>
      <w:r w:rsidRPr="00DC16F4">
        <w:t xml:space="preserve"> förbud mot löpande skuldebrev mot konsumentfordringar.</w:t>
      </w:r>
    </w:p>
    <w:p w14:paraId="629010FE" w14:textId="77777777" w:rsidR="00DC16F4" w:rsidRPr="00DC16F4" w:rsidRDefault="00DC16F4" w:rsidP="00DC16F4">
      <w:pPr>
        <w:widowControl w:val="0"/>
        <w:autoSpaceDE w:val="0"/>
        <w:autoSpaceDN w:val="0"/>
        <w:adjustRightInd w:val="0"/>
        <w:rPr>
          <w:rFonts w:cs="Arial"/>
        </w:rPr>
      </w:pPr>
    </w:p>
    <w:p w14:paraId="39B78A65" w14:textId="645211D5" w:rsidR="00DC16F4" w:rsidRPr="00DC16F4" w:rsidRDefault="00DC16F4" w:rsidP="00DC16F4">
      <w:pPr>
        <w:widowControl w:val="0"/>
        <w:autoSpaceDE w:val="0"/>
        <w:autoSpaceDN w:val="0"/>
        <w:adjustRightInd w:val="0"/>
        <w:rPr>
          <w:rFonts w:cs="Arial"/>
          <w:b/>
        </w:rPr>
      </w:pPr>
      <w:r w:rsidRPr="00DC16F4">
        <w:rPr>
          <w:rFonts w:cs="Arial"/>
          <w:b/>
        </w:rPr>
        <w:t>Utsökningsbalken:</w:t>
      </w:r>
    </w:p>
    <w:p w14:paraId="2A3574B8" w14:textId="63714E6D" w:rsidR="00DC16F4" w:rsidRPr="00DC16F4" w:rsidRDefault="00DC16F4" w:rsidP="00DC16F4">
      <w:pPr>
        <w:pStyle w:val="Liststycke"/>
        <w:numPr>
          <w:ilvl w:val="0"/>
          <w:numId w:val="13"/>
        </w:numPr>
        <w:rPr>
          <w:rFonts w:ascii="Arial" w:hAnsi="Arial" w:cs="Arial"/>
        </w:rPr>
      </w:pPr>
      <w:r w:rsidRPr="00DC16F4">
        <w:rPr>
          <w:rFonts w:ascii="Arial" w:hAnsi="Arial" w:cs="Arial"/>
          <w:b/>
        </w:rPr>
        <w:t>4 kap.1</w:t>
      </w:r>
      <w:r w:rsidR="003415D5">
        <w:rPr>
          <w:rFonts w:ascii="Arial" w:hAnsi="Arial" w:cs="Arial"/>
          <w:b/>
          <w:bCs/>
        </w:rPr>
        <w:t>8 st.</w:t>
      </w:r>
      <w:r w:rsidRPr="00DC16F4">
        <w:rPr>
          <w:rFonts w:ascii="Arial" w:hAnsi="Arial" w:cs="Arial"/>
          <w:b/>
          <w:bCs/>
        </w:rPr>
        <w:t xml:space="preserve"> UB</w:t>
      </w:r>
      <w:r w:rsidRPr="00DC16F4">
        <w:rPr>
          <w:rFonts w:ascii="Arial" w:hAnsi="Arial" w:cs="Arial"/>
        </w:rPr>
        <w:t xml:space="preserve"> Gäldenären anses vara ägare till lös egendom som han har i sin </w:t>
      </w:r>
      <w:proofErr w:type="gramStart"/>
      <w:r w:rsidRPr="00DC16F4">
        <w:rPr>
          <w:rFonts w:ascii="Arial" w:hAnsi="Arial" w:cs="Arial"/>
        </w:rPr>
        <w:t>besittning</w:t>
      </w:r>
      <w:proofErr w:type="gramEnd"/>
      <w:r w:rsidRPr="00DC16F4">
        <w:rPr>
          <w:rFonts w:ascii="Arial" w:hAnsi="Arial" w:cs="Arial"/>
        </w:rPr>
        <w:t xml:space="preserve">, om det ej framgår att egendomen tillhör annan. </w:t>
      </w:r>
    </w:p>
    <w:p w14:paraId="6D441DF1" w14:textId="058FCD04" w:rsidR="00DC16F4" w:rsidRPr="00DC16F4" w:rsidRDefault="00DC16F4" w:rsidP="00DC16F4">
      <w:pPr>
        <w:pStyle w:val="Liststycke"/>
        <w:numPr>
          <w:ilvl w:val="0"/>
          <w:numId w:val="13"/>
        </w:numPr>
        <w:rPr>
          <w:rFonts w:ascii="Arial" w:hAnsi="Arial" w:cs="Arial"/>
        </w:rPr>
      </w:pPr>
      <w:r w:rsidRPr="00DC16F4">
        <w:t xml:space="preserve">Gåvor mellan makar måste registreras. Annars så </w:t>
      </w:r>
      <w:proofErr w:type="gramStart"/>
      <w:r w:rsidRPr="00DC16F4">
        <w:t>besitter</w:t>
      </w:r>
      <w:proofErr w:type="gramEnd"/>
      <w:r w:rsidRPr="00DC16F4">
        <w:t xml:space="preserve"> Harald fortfarande på gåvan och den kan utmätas (</w:t>
      </w:r>
      <w:r w:rsidR="003415D5">
        <w:rPr>
          <w:b/>
        </w:rPr>
        <w:t>4 kap.</w:t>
      </w:r>
      <w:r w:rsidRPr="003415D5">
        <w:rPr>
          <w:b/>
        </w:rPr>
        <w:t xml:space="preserve"> 17st)</w:t>
      </w:r>
    </w:p>
    <w:p w14:paraId="1ECB0323" w14:textId="1F2F270D" w:rsidR="00DC16F4" w:rsidRPr="00DC16F4" w:rsidRDefault="003415D5" w:rsidP="00DC16F4">
      <w:pPr>
        <w:pStyle w:val="Liststycke"/>
        <w:numPr>
          <w:ilvl w:val="0"/>
          <w:numId w:val="13"/>
        </w:numPr>
        <w:rPr>
          <w:rFonts w:ascii="Arial" w:hAnsi="Arial" w:cs="Arial"/>
        </w:rPr>
      </w:pPr>
      <w:r>
        <w:rPr>
          <w:rFonts w:ascii="Arial" w:hAnsi="Arial" w:cs="Arial"/>
          <w:b/>
        </w:rPr>
        <w:t>4 kap</w:t>
      </w:r>
      <w:r w:rsidR="00DC16F4" w:rsidRPr="003415D5">
        <w:rPr>
          <w:rFonts w:ascii="Arial" w:hAnsi="Arial" w:cs="Arial"/>
          <w:b/>
        </w:rPr>
        <w:t xml:space="preserve"> 14 </w:t>
      </w:r>
      <w:proofErr w:type="spellStart"/>
      <w:r w:rsidR="00DC16F4" w:rsidRPr="003415D5">
        <w:rPr>
          <w:rFonts w:ascii="Arial" w:hAnsi="Arial" w:cs="Arial"/>
          <w:b/>
        </w:rPr>
        <w:t>st</w:t>
      </w:r>
      <w:proofErr w:type="spellEnd"/>
      <w:r w:rsidR="00DC16F4" w:rsidRPr="00DC16F4">
        <w:rPr>
          <w:rFonts w:ascii="Arial" w:hAnsi="Arial" w:cs="Arial"/>
        </w:rPr>
        <w:t xml:space="preserve"> Gäldenären har upplysningsplikt och måste uppge sina egendomar.</w:t>
      </w:r>
    </w:p>
    <w:p w14:paraId="020653F8" w14:textId="6C901AC5" w:rsidR="00DC16F4" w:rsidRPr="003415D5" w:rsidRDefault="00DC16F4" w:rsidP="003415D5">
      <w:pPr>
        <w:pStyle w:val="Liststycke"/>
        <w:numPr>
          <w:ilvl w:val="0"/>
          <w:numId w:val="13"/>
        </w:numPr>
        <w:rPr>
          <w:rFonts w:ascii="Arial" w:hAnsi="Arial" w:cs="Arial"/>
        </w:rPr>
      </w:pPr>
      <w:r w:rsidRPr="00DC16F4">
        <w:rPr>
          <w:rFonts w:ascii="Arial" w:hAnsi="Arial" w:cs="Arial"/>
          <w:b/>
        </w:rPr>
        <w:t xml:space="preserve">4 kap </w:t>
      </w:r>
      <w:r w:rsidR="003415D5">
        <w:rPr>
          <w:rFonts w:ascii="Arial" w:hAnsi="Arial" w:cs="Arial"/>
          <w:b/>
          <w:bCs/>
        </w:rPr>
        <w:t>19st</w:t>
      </w:r>
      <w:r w:rsidRPr="00DC16F4">
        <w:rPr>
          <w:rFonts w:ascii="Arial" w:hAnsi="Arial" w:cs="Arial"/>
          <w:b/>
        </w:rPr>
        <w:t xml:space="preserve"> UB</w:t>
      </w:r>
      <w:r w:rsidRPr="00DC16F4">
        <w:rPr>
          <w:rFonts w:ascii="Arial" w:hAnsi="Arial" w:cs="Arial"/>
        </w:rPr>
        <w:t xml:space="preserve"> Om gäldenären är gift och varaktigt sammanbor med sin make och de har lös egendom i sin gemensamma </w:t>
      </w:r>
      <w:proofErr w:type="gramStart"/>
      <w:r w:rsidRPr="00DC16F4">
        <w:rPr>
          <w:rFonts w:ascii="Arial" w:hAnsi="Arial" w:cs="Arial"/>
        </w:rPr>
        <w:t>besittning</w:t>
      </w:r>
      <w:proofErr w:type="gramEnd"/>
      <w:r w:rsidRPr="00DC16F4">
        <w:rPr>
          <w:rFonts w:ascii="Arial" w:hAnsi="Arial" w:cs="Arial"/>
        </w:rPr>
        <w:t>, anses gäldenären som ägare till egendomen,</w:t>
      </w:r>
    </w:p>
    <w:p w14:paraId="514522BA" w14:textId="738B5D46" w:rsidR="00DC16F4" w:rsidRPr="00DC16F4" w:rsidRDefault="003415D5" w:rsidP="00DC16F4">
      <w:pPr>
        <w:pStyle w:val="Liststycke"/>
        <w:widowControl w:val="0"/>
        <w:numPr>
          <w:ilvl w:val="0"/>
          <w:numId w:val="13"/>
        </w:numPr>
        <w:autoSpaceDE w:val="0"/>
        <w:autoSpaceDN w:val="0"/>
        <w:adjustRightInd w:val="0"/>
        <w:rPr>
          <w:rFonts w:cs="Arial"/>
        </w:rPr>
      </w:pPr>
      <w:r>
        <w:rPr>
          <w:b/>
        </w:rPr>
        <w:t>5 kap 1st</w:t>
      </w:r>
      <w:r w:rsidR="00DC16F4" w:rsidRPr="00DC16F4">
        <w:rPr>
          <w:b/>
        </w:rPr>
        <w:t xml:space="preserve"> UB</w:t>
      </w:r>
    </w:p>
    <w:p w14:paraId="19605E59" w14:textId="3699E739" w:rsidR="00DC16F4" w:rsidRPr="00DC16F4" w:rsidRDefault="003415D5" w:rsidP="00DC16F4">
      <w:pPr>
        <w:pStyle w:val="Liststycke"/>
        <w:numPr>
          <w:ilvl w:val="0"/>
          <w:numId w:val="13"/>
        </w:numPr>
        <w:rPr>
          <w:rFonts w:ascii="Arial" w:hAnsi="Arial" w:cs="Arial"/>
        </w:rPr>
      </w:pPr>
      <w:r w:rsidRPr="003415D5">
        <w:rPr>
          <w:rFonts w:ascii="Arial" w:hAnsi="Arial" w:cs="Arial"/>
          <w:b/>
        </w:rPr>
        <w:t>5 kap.</w:t>
      </w:r>
      <w:r w:rsidR="00DC16F4" w:rsidRPr="003415D5">
        <w:rPr>
          <w:rFonts w:ascii="Arial" w:hAnsi="Arial" w:cs="Arial"/>
          <w:b/>
        </w:rPr>
        <w:t xml:space="preserve"> 2st </w:t>
      </w:r>
      <w:r w:rsidR="00DC16F4" w:rsidRPr="00DC16F4">
        <w:rPr>
          <w:rFonts w:ascii="Arial" w:hAnsi="Arial" w:cs="Arial"/>
        </w:rPr>
        <w:t xml:space="preserve">med koppling till </w:t>
      </w:r>
      <w:r w:rsidR="00DC16F4" w:rsidRPr="003415D5">
        <w:rPr>
          <w:rFonts w:ascii="Arial" w:hAnsi="Arial" w:cs="Arial"/>
          <w:b/>
        </w:rPr>
        <w:t>5§ 1st 2p</w:t>
      </w:r>
      <w:r w:rsidR="00DC16F4" w:rsidRPr="00DC16F4">
        <w:rPr>
          <w:rFonts w:ascii="Arial" w:hAnsi="Arial" w:cs="Arial"/>
        </w:rPr>
        <w:t>. Detta beror på pris på datorn. Man har en väldigt stor användning av en dator i hemmet i dagsläget för att betala räkningar osv. En vanlig standarddator gör man inte utmätning på.</w:t>
      </w:r>
    </w:p>
    <w:p w14:paraId="52C8C658" w14:textId="77777777" w:rsidR="00DC16F4" w:rsidRPr="00DC16F4" w:rsidRDefault="00DC16F4" w:rsidP="00DC16F4">
      <w:pPr>
        <w:widowControl w:val="0"/>
        <w:autoSpaceDE w:val="0"/>
        <w:autoSpaceDN w:val="0"/>
        <w:adjustRightInd w:val="0"/>
        <w:ind w:left="360"/>
        <w:rPr>
          <w:rFonts w:cs="Arial"/>
        </w:rPr>
      </w:pPr>
    </w:p>
    <w:p w14:paraId="1D4DBF43" w14:textId="77777777" w:rsidR="003A6FFD" w:rsidRPr="00DC16F4" w:rsidRDefault="003A6FFD" w:rsidP="003A6FFD">
      <w:pPr>
        <w:pStyle w:val="Liststycke"/>
      </w:pPr>
    </w:p>
    <w:sectPr w:rsidR="003A6FFD" w:rsidRPr="00DC16F4" w:rsidSect="00F103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rker Felt">
    <w:panose1 w:val="02000400000000000000"/>
    <w:charset w:val="00"/>
    <w:family w:val="auto"/>
    <w:pitch w:val="variable"/>
    <w:sig w:usb0="80000063" w:usb1="00000040" w:usb2="00000000" w:usb3="00000000" w:csb0="00000111" w:csb1="00000000"/>
  </w:font>
  <w:font w:name="Georgia">
    <w:panose1 w:val="02040502050405020303"/>
    <w:charset w:val="00"/>
    <w:family w:val="auto"/>
    <w:pitch w:val="variable"/>
    <w:sig w:usb0="00000003" w:usb1="00000000" w:usb2="00000000" w:usb3="00000000" w:csb0="00000001" w:csb1="00000000"/>
  </w:font>
  <w:font w:name="Charter Roman">
    <w:panose1 w:val="02040503050506020203"/>
    <w:charset w:val="00"/>
    <w:family w:val="auto"/>
    <w:pitch w:val="variable"/>
    <w:sig w:usb0="800000AF" w:usb1="1000204A" w:usb2="00000000" w:usb3="00000000" w:csb0="00000011"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AA5"/>
    <w:multiLevelType w:val="hybridMultilevel"/>
    <w:tmpl w:val="269A4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2C3BE7"/>
    <w:multiLevelType w:val="hybridMultilevel"/>
    <w:tmpl w:val="5B647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DB5DDA"/>
    <w:multiLevelType w:val="hybridMultilevel"/>
    <w:tmpl w:val="48BCD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9319B8"/>
    <w:multiLevelType w:val="hybridMultilevel"/>
    <w:tmpl w:val="61742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9235957"/>
    <w:multiLevelType w:val="hybridMultilevel"/>
    <w:tmpl w:val="4F2A8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B973B6"/>
    <w:multiLevelType w:val="hybridMultilevel"/>
    <w:tmpl w:val="E2046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4277E26"/>
    <w:multiLevelType w:val="hybridMultilevel"/>
    <w:tmpl w:val="9104CD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36935464"/>
    <w:multiLevelType w:val="hybridMultilevel"/>
    <w:tmpl w:val="A5680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B9D410E"/>
    <w:multiLevelType w:val="hybridMultilevel"/>
    <w:tmpl w:val="77045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ECF4488"/>
    <w:multiLevelType w:val="hybridMultilevel"/>
    <w:tmpl w:val="D3248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3735ED6"/>
    <w:multiLevelType w:val="hybridMultilevel"/>
    <w:tmpl w:val="E63E6CF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9CA675A"/>
    <w:multiLevelType w:val="hybridMultilevel"/>
    <w:tmpl w:val="6B30A0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C7E4F81"/>
    <w:multiLevelType w:val="hybridMultilevel"/>
    <w:tmpl w:val="BC5E0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10"/>
  </w:num>
  <w:num w:numId="6">
    <w:abstractNumId w:val="12"/>
  </w:num>
  <w:num w:numId="7">
    <w:abstractNumId w:val="9"/>
  </w:num>
  <w:num w:numId="8">
    <w:abstractNumId w:val="6"/>
  </w:num>
  <w:num w:numId="9">
    <w:abstractNumId w:val="0"/>
  </w:num>
  <w:num w:numId="10">
    <w:abstractNumId w:val="11"/>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C6"/>
    <w:rsid w:val="00114F86"/>
    <w:rsid w:val="003415D5"/>
    <w:rsid w:val="00383744"/>
    <w:rsid w:val="003A6FFD"/>
    <w:rsid w:val="006F18C6"/>
    <w:rsid w:val="00A961C9"/>
    <w:rsid w:val="00AB5ADE"/>
    <w:rsid w:val="00B600C0"/>
    <w:rsid w:val="00D511D0"/>
    <w:rsid w:val="00DC16F4"/>
    <w:rsid w:val="00F1039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171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F18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18C6"/>
    <w:pPr>
      <w:ind w:left="720"/>
      <w:contextualSpacing/>
    </w:pPr>
  </w:style>
  <w:style w:type="character" w:customStyle="1" w:styleId="Rubrik1Char">
    <w:name w:val="Rubrik 1 Char"/>
    <w:basedOn w:val="Standardstycketypsnitt"/>
    <w:link w:val="Rubrik1"/>
    <w:uiPriority w:val="9"/>
    <w:rsid w:val="006F18C6"/>
    <w:rPr>
      <w:rFonts w:asciiTheme="majorHAnsi" w:eastAsiaTheme="majorEastAsia" w:hAnsiTheme="majorHAnsi" w:cstheme="majorBidi"/>
      <w:b/>
      <w:bCs/>
      <w:color w:val="345A8A" w:themeColor="accent1" w:themeShade="B5"/>
      <w:sz w:val="32"/>
      <w:szCs w:val="32"/>
    </w:rPr>
  </w:style>
  <w:style w:type="paragraph" w:styleId="Normalwebb">
    <w:name w:val="Normal (Web)"/>
    <w:basedOn w:val="Normal"/>
    <w:uiPriority w:val="99"/>
    <w:semiHidden/>
    <w:unhideWhenUsed/>
    <w:rsid w:val="003A6FF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6F18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F18C6"/>
    <w:pPr>
      <w:ind w:left="720"/>
      <w:contextualSpacing/>
    </w:pPr>
  </w:style>
  <w:style w:type="character" w:customStyle="1" w:styleId="Rubrik1Char">
    <w:name w:val="Rubrik 1 Char"/>
    <w:basedOn w:val="Standardstycketypsnitt"/>
    <w:link w:val="Rubrik1"/>
    <w:uiPriority w:val="9"/>
    <w:rsid w:val="006F18C6"/>
    <w:rPr>
      <w:rFonts w:asciiTheme="majorHAnsi" w:eastAsiaTheme="majorEastAsia" w:hAnsiTheme="majorHAnsi" w:cstheme="majorBidi"/>
      <w:b/>
      <w:bCs/>
      <w:color w:val="345A8A" w:themeColor="accent1" w:themeShade="B5"/>
      <w:sz w:val="32"/>
      <w:szCs w:val="32"/>
    </w:rPr>
  </w:style>
  <w:style w:type="paragraph" w:styleId="Normalwebb">
    <w:name w:val="Normal (Web)"/>
    <w:basedOn w:val="Normal"/>
    <w:uiPriority w:val="99"/>
    <w:semiHidden/>
    <w:unhideWhenUsed/>
    <w:rsid w:val="003A6FF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agen.nu/2009:865" TargetMode="External"/><Relationship Id="rId12" Type="http://schemas.openxmlformats.org/officeDocument/2006/relationships/hyperlink" Target="https://www5.infotorg.se/rb/MainServlet?query=rbdoc&amp;sf=HY&amp;link=SFSS+SFSS_1990_931_kap0" TargetMode="External"/><Relationship Id="rId13" Type="http://schemas.openxmlformats.org/officeDocument/2006/relationships/hyperlink" Target="https://www5.infotorg.se/rb/MainServlet?query=rbdoc&amp;sf=HY&amp;link=SFSS+SFSS_1990_931" TargetMode="External"/><Relationship Id="rId14" Type="http://schemas.openxmlformats.org/officeDocument/2006/relationships/hyperlink" Target="https://www5.infotorg.se/rb/MainServlet?query=rbdoc&amp;sf=HY&amp;link=SFSS+SFSS_1990_931_kap0" TargetMode="External"/><Relationship Id="rId15" Type="http://schemas.openxmlformats.org/officeDocument/2006/relationships/hyperlink" Target="https://www5.infotorg.se/rb/MainServlet?query=rbdoc&amp;sf=HY&amp;link=SFSS+SFSS_1990_931"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agen.nu/1915:218" TargetMode="External"/><Relationship Id="rId7" Type="http://schemas.openxmlformats.org/officeDocument/2006/relationships/hyperlink" Target="https://lagen.nu/1915:218" TargetMode="External"/><Relationship Id="rId8" Type="http://schemas.openxmlformats.org/officeDocument/2006/relationships/hyperlink" Target="https://lagen.nu/1915:218" TargetMode="External"/><Relationship Id="rId9" Type="http://schemas.openxmlformats.org/officeDocument/2006/relationships/hyperlink" Target="https://lagen.nu/1915:218" TargetMode="External"/><Relationship Id="rId10" Type="http://schemas.openxmlformats.org/officeDocument/2006/relationships/hyperlink" Target="https://lagen.nu/1915:2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1113</Words>
  <Characters>5904</Characters>
  <Application>Microsoft Macintosh Word</Application>
  <DocSecurity>0</DocSecurity>
  <Lines>49</Lines>
  <Paragraphs>14</Paragraphs>
  <ScaleCrop>false</ScaleCrop>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Le</dc:creator>
  <cp:keywords/>
  <dc:description/>
  <cp:lastModifiedBy>Chien Le</cp:lastModifiedBy>
  <cp:revision>5</cp:revision>
  <dcterms:created xsi:type="dcterms:W3CDTF">2015-01-30T13:21:00Z</dcterms:created>
  <dcterms:modified xsi:type="dcterms:W3CDTF">2015-01-30T19:48:00Z</dcterms:modified>
</cp:coreProperties>
</file>